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88" w:rsidRDefault="00FA6188">
      <w:pPr>
        <w:spacing w:before="9"/>
        <w:rPr>
          <w:rFonts w:ascii="Times New Roman" w:eastAsia="Times New Roman" w:hAnsi="Times New Roman" w:cs="Times New Roman"/>
          <w:sz w:val="7"/>
          <w:szCs w:val="7"/>
        </w:rPr>
      </w:pPr>
    </w:p>
    <w:p w:rsidR="00FA6188" w:rsidRDefault="00FA6188">
      <w:pPr>
        <w:spacing w:before="9"/>
        <w:rPr>
          <w:rFonts w:ascii="Times New Roman" w:eastAsia="Times New Roman" w:hAnsi="Times New Roman" w:cs="Times New Roman"/>
          <w:sz w:val="7"/>
          <w:szCs w:val="7"/>
        </w:rPr>
      </w:pPr>
    </w:p>
    <w:p w:rsidR="00FA6188" w:rsidRDefault="00FA6188">
      <w:pPr>
        <w:spacing w:before="9"/>
        <w:rPr>
          <w:rFonts w:ascii="Times New Roman" w:eastAsia="Times New Roman" w:hAnsi="Times New Roman" w:cs="Times New Roman"/>
          <w:sz w:val="7"/>
          <w:szCs w:val="7"/>
        </w:rPr>
      </w:pPr>
    </w:p>
    <w:p w:rsidR="00396267" w:rsidRDefault="00AE1399" w:rsidP="00FA6188">
      <w:pPr>
        <w:spacing w:line="1651" w:lineRule="exact"/>
        <w:jc w:val="center"/>
        <w:rPr>
          <w:rFonts w:ascii="Times New Roman" w:eastAsia="Times New Roman" w:hAnsi="Times New Roman" w:cs="Times New Roman"/>
          <w:sz w:val="20"/>
          <w:szCs w:val="20"/>
        </w:rPr>
      </w:pPr>
      <w:r>
        <w:rPr>
          <w:rFonts w:ascii="Times New Roman" w:hAnsi="Times New Roman"/>
          <w:noProof/>
          <w:sz w:val="20"/>
          <w:szCs w:val="20"/>
          <w:lang w:val="pl-PL" w:eastAsia="pl-PL"/>
        </w:rPr>
        <w:drawing>
          <wp:inline distT="0" distB="0" distL="0" distR="0">
            <wp:extent cx="857885" cy="8578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58067" cy="858067"/>
                    </a:xfrm>
                    <a:prstGeom prst="rect">
                      <a:avLst/>
                    </a:prstGeom>
                  </pic:spPr>
                </pic:pic>
              </a:graphicData>
            </a:graphic>
          </wp:inline>
        </w:drawing>
      </w:r>
    </w:p>
    <w:p w:rsidR="00396267" w:rsidRDefault="00AE1399">
      <w:pPr>
        <w:pStyle w:val="Nagwek1"/>
        <w:spacing w:before="72"/>
        <w:ind w:right="525"/>
        <w:jc w:val="center"/>
      </w:pPr>
      <w:r>
        <w:rPr>
          <w:b/>
        </w:rPr>
        <w:t>Regulation No. 35/2022</w:t>
      </w:r>
    </w:p>
    <w:p w:rsidR="00396267" w:rsidRDefault="00AE1399">
      <w:pPr>
        <w:ind w:left="526" w:right="526"/>
        <w:jc w:val="center"/>
        <w:rPr>
          <w:rFonts w:ascii="Bookman Old Style" w:eastAsia="Bookman Old Style" w:hAnsi="Bookman Old Style" w:cs="Bookman Old Style"/>
          <w:sz w:val="28"/>
          <w:szCs w:val="28"/>
        </w:rPr>
      </w:pPr>
      <w:r>
        <w:rPr>
          <w:rFonts w:ascii="Bookman Old Style"/>
          <w:b/>
          <w:sz w:val="28"/>
        </w:rPr>
        <w:t>of the Rector of the University of Opole</w:t>
      </w:r>
    </w:p>
    <w:p w:rsidR="00396267" w:rsidRDefault="00AE1399">
      <w:pPr>
        <w:pStyle w:val="Nagwek2"/>
        <w:ind w:right="526"/>
        <w:jc w:val="center"/>
      </w:pPr>
      <w:r>
        <w:rPr>
          <w:b/>
        </w:rPr>
        <w:t>of March 30, 2022</w:t>
      </w:r>
    </w:p>
    <w:p w:rsidR="00396267" w:rsidRDefault="00AE1399">
      <w:pPr>
        <w:spacing w:before="212"/>
        <w:ind w:left="526" w:right="526"/>
        <w:jc w:val="center"/>
        <w:rPr>
          <w:rFonts w:ascii="Bookman Old Style" w:eastAsia="Bookman Old Style" w:hAnsi="Bookman Old Style" w:cs="Bookman Old Style"/>
          <w:sz w:val="24"/>
          <w:szCs w:val="24"/>
        </w:rPr>
      </w:pPr>
      <w:r>
        <w:rPr>
          <w:rFonts w:ascii="Bookman Old Style" w:hAnsi="Bookman Old Style"/>
          <w:b/>
          <w:sz w:val="24"/>
        </w:rPr>
        <w:t>on tuition fees and other charges collected by the University of Opole in the 2022/2023 academic year</w:t>
      </w:r>
    </w:p>
    <w:p w:rsidR="00396267" w:rsidRDefault="00396267">
      <w:pPr>
        <w:rPr>
          <w:rFonts w:ascii="Bookman Old Style" w:eastAsia="Bookman Old Style" w:hAnsi="Bookman Old Style" w:cs="Bookman Old Style"/>
          <w:b/>
          <w:bCs/>
        </w:rPr>
      </w:pPr>
    </w:p>
    <w:p w:rsidR="00396267" w:rsidRDefault="00AE1399" w:rsidP="00FA6188">
      <w:pPr>
        <w:ind w:left="116" w:right="151"/>
        <w:rPr>
          <w:rFonts w:ascii="Bookman Old Style" w:eastAsia="Bookman Old Style" w:hAnsi="Bookman Old Style" w:cs="Bookman Old Style"/>
        </w:rPr>
      </w:pPr>
      <w:r>
        <w:rPr>
          <w:rFonts w:ascii="Bookman Old Style" w:hAnsi="Bookman Old Style"/>
        </w:rPr>
        <w:t xml:space="preserve">Pursuant to Article </w:t>
      </w:r>
      <w:r w:rsidRPr="00FA6188">
        <w:rPr>
          <w:rFonts w:ascii="Bookman Old Style" w:hAnsi="Bookman Old Style"/>
          <w:b/>
        </w:rPr>
        <w:t>23(2)(10),</w:t>
      </w:r>
      <w:r>
        <w:rPr>
          <w:rFonts w:ascii="Bookman Old Style" w:hAnsi="Bookman Old Style"/>
        </w:rPr>
        <w:t xml:space="preserve"> in connection with </w:t>
      </w:r>
      <w:r w:rsidRPr="00FA6188">
        <w:rPr>
          <w:rFonts w:ascii="Bookman Old Style" w:hAnsi="Bookman Old Style"/>
          <w:b/>
        </w:rPr>
        <w:t>Article 79(1)</w:t>
      </w:r>
      <w:r>
        <w:rPr>
          <w:rFonts w:ascii="Bookman Old Style" w:hAnsi="Bookman Old Style"/>
        </w:rPr>
        <w:t xml:space="preserve"> and </w:t>
      </w:r>
      <w:r w:rsidRPr="00FA6188">
        <w:rPr>
          <w:rFonts w:ascii="Bookman Old Style" w:hAnsi="Bookman Old Style"/>
          <w:b/>
        </w:rPr>
        <w:t>(2)</w:t>
      </w:r>
      <w:r>
        <w:rPr>
          <w:rFonts w:ascii="Bookman Old Style" w:hAnsi="Bookman Old Style"/>
        </w:rPr>
        <w:t xml:space="preserve"> of the Act of 20</w:t>
      </w:r>
      <w:r w:rsidR="00FA6188">
        <w:rPr>
          <w:rFonts w:ascii="Bookman Old Style" w:hAnsi="Bookman Old Style"/>
        </w:rPr>
        <w:t xml:space="preserve"> </w:t>
      </w:r>
      <w:r>
        <w:rPr>
          <w:rFonts w:ascii="Bookman Old Style" w:hAnsi="Bookman Old Style"/>
        </w:rPr>
        <w:t>July</w:t>
      </w:r>
      <w:r w:rsidR="00FA6188">
        <w:rPr>
          <w:rFonts w:ascii="Bookman Old Style" w:hAnsi="Bookman Old Style"/>
        </w:rPr>
        <w:t xml:space="preserve"> </w:t>
      </w:r>
      <w:r>
        <w:rPr>
          <w:rFonts w:ascii="Bookman Old Style" w:hAnsi="Bookman Old Style"/>
        </w:rPr>
        <w:t xml:space="preserve">2018 - </w:t>
      </w:r>
      <w:r>
        <w:rPr>
          <w:rFonts w:ascii="Bookman Old Style" w:hAnsi="Bookman Old Style"/>
          <w:i/>
        </w:rPr>
        <w:t>Law on Higher Education and Science</w:t>
      </w:r>
      <w:r>
        <w:rPr>
          <w:rFonts w:ascii="Bookman Old Style" w:hAnsi="Bookman Old Style"/>
        </w:rPr>
        <w:t xml:space="preserve"> (Journa</w:t>
      </w:r>
      <w:r w:rsidR="00FA6188">
        <w:rPr>
          <w:rFonts w:ascii="Bookman Old Style" w:hAnsi="Bookman Old Style"/>
        </w:rPr>
        <w:t xml:space="preserve">l of Laws of 2022, Item 574, as </w:t>
      </w:r>
      <w:r>
        <w:rPr>
          <w:rFonts w:ascii="Bookman Old Style" w:hAnsi="Bookman Old Style"/>
        </w:rPr>
        <w:t xml:space="preserve">amended), </w:t>
      </w:r>
      <w:r w:rsidRPr="00FA6188">
        <w:rPr>
          <w:rFonts w:ascii="Bookman Old Style" w:hAnsi="Bookman Old Style"/>
          <w:b/>
        </w:rPr>
        <w:t>Section 3(3)</w:t>
      </w:r>
      <w:r>
        <w:rPr>
          <w:rFonts w:ascii="Bookman Old Style" w:hAnsi="Bookman Old Style"/>
        </w:rPr>
        <w:t xml:space="preserve"> of Regulation No. 49/2020 of the Rector of the Univers</w:t>
      </w:r>
      <w:r>
        <w:rPr>
          <w:rFonts w:ascii="Bookman Old Style" w:hAnsi="Bookman Old Style"/>
        </w:rPr>
        <w:t xml:space="preserve">ity of Opole on </w:t>
      </w:r>
      <w:r w:rsidRPr="00FA6188">
        <w:rPr>
          <w:rFonts w:ascii="Bookman Old Style" w:hAnsi="Bookman Old Style"/>
          <w:i/>
        </w:rPr>
        <w:t>terms and conditions of exemption from tuition fees and other charges collected by the University of Opole,</w:t>
      </w:r>
      <w:r w:rsidRPr="00FA6188">
        <w:rPr>
          <w:rFonts w:ascii="Bookman Old Style" w:hAnsi="Bookman Old Style"/>
          <w:b/>
        </w:rPr>
        <w:t xml:space="preserve"> and Section 13(4)(7)</w:t>
      </w:r>
      <w:r>
        <w:rPr>
          <w:rFonts w:ascii="Bookman Old Style" w:hAnsi="Bookman Old Style"/>
        </w:rPr>
        <w:t xml:space="preserve"> of </w:t>
      </w:r>
      <w:r>
        <w:rPr>
          <w:rFonts w:ascii="Bookman Old Style" w:hAnsi="Bookman Old Style"/>
          <w:i/>
        </w:rPr>
        <w:t>the Statute of the University of Opole</w:t>
      </w:r>
      <w:r>
        <w:rPr>
          <w:rFonts w:ascii="Bookman Old Style" w:hAnsi="Bookman Old Style"/>
        </w:rPr>
        <w:t xml:space="preserve"> (Resolution No. 126/2020-2024 of the Senate of the University of Opol</w:t>
      </w:r>
      <w:r>
        <w:rPr>
          <w:rFonts w:ascii="Bookman Old Style" w:hAnsi="Bookman Old Style"/>
        </w:rPr>
        <w:t xml:space="preserve">e of 30 September 2021), </w:t>
      </w:r>
      <w:r>
        <w:rPr>
          <w:rFonts w:ascii="Bookman Old Style" w:hAnsi="Bookman Old Style"/>
          <w:b/>
        </w:rPr>
        <w:t>the Rector of the UO</w:t>
      </w:r>
      <w:r>
        <w:rPr>
          <w:rFonts w:ascii="Bookman Old Style" w:hAnsi="Bookman Old Style"/>
        </w:rPr>
        <w:t xml:space="preserve"> orders the following:</w:t>
      </w:r>
    </w:p>
    <w:p w:rsidR="00396267" w:rsidRDefault="00396267">
      <w:pPr>
        <w:spacing w:before="3"/>
        <w:rPr>
          <w:rFonts w:ascii="Bookman Old Style" w:eastAsia="Bookman Old Style" w:hAnsi="Bookman Old Style" w:cs="Bookman Old Style"/>
          <w:sz w:val="16"/>
          <w:szCs w:val="16"/>
        </w:rPr>
      </w:pPr>
    </w:p>
    <w:p w:rsidR="00396267" w:rsidRDefault="00AE1399">
      <w:pPr>
        <w:pStyle w:val="Tekstpodstawowy"/>
        <w:spacing w:before="69" w:line="258" w:lineRule="exact"/>
        <w:ind w:left="526" w:right="526" w:firstLine="0"/>
        <w:jc w:val="center"/>
        <w:rPr>
          <w:rFonts w:cs="Bookman Old Style"/>
        </w:rPr>
      </w:pPr>
      <w:r>
        <w:rPr>
          <w:b/>
          <w:bCs/>
        </w:rPr>
        <w:t>Section 1</w:t>
      </w:r>
    </w:p>
    <w:p w:rsidR="00396267" w:rsidRDefault="00AE1399">
      <w:pPr>
        <w:pStyle w:val="Akapitzlist"/>
        <w:numPr>
          <w:ilvl w:val="0"/>
          <w:numId w:val="3"/>
        </w:numPr>
        <w:tabs>
          <w:tab w:val="left" w:pos="477"/>
        </w:tabs>
        <w:spacing w:line="258" w:lineRule="exact"/>
        <w:ind w:right="126"/>
        <w:rPr>
          <w:rFonts w:ascii="Bookman Old Style" w:eastAsia="Bookman Old Style" w:hAnsi="Bookman Old Style" w:cs="Bookman Old Style"/>
        </w:rPr>
      </w:pPr>
      <w:r>
        <w:rPr>
          <w:rFonts w:ascii="Bookman Old Style" w:hAnsi="Bookman Old Style"/>
        </w:rPr>
        <w:t>This Regulation specifies:</w:t>
      </w:r>
    </w:p>
    <w:p w:rsidR="00396267" w:rsidRDefault="00AE1399">
      <w:pPr>
        <w:pStyle w:val="Akapitzlist"/>
        <w:numPr>
          <w:ilvl w:val="1"/>
          <w:numId w:val="3"/>
        </w:numPr>
        <w:tabs>
          <w:tab w:val="left" w:pos="837"/>
        </w:tabs>
        <w:spacing w:before="1"/>
        <w:ind w:right="116"/>
        <w:jc w:val="both"/>
        <w:rPr>
          <w:rFonts w:ascii="Bookman Old Style" w:eastAsia="Bookman Old Style" w:hAnsi="Bookman Old Style" w:cs="Bookman Old Style"/>
        </w:rPr>
      </w:pPr>
      <w:r>
        <w:rPr>
          <w:rFonts w:ascii="Bookman Old Style" w:hAnsi="Bookman Old Style"/>
        </w:rPr>
        <w:t>fees charged by the University of Opole to students and foreigners pursuant to the Act of 20 July 2018 - Law on Higher Education and Science,</w:t>
      </w:r>
    </w:p>
    <w:p w:rsidR="00396267" w:rsidRDefault="00AE1399">
      <w:pPr>
        <w:pStyle w:val="Akapitzlist"/>
        <w:numPr>
          <w:ilvl w:val="1"/>
          <w:numId w:val="3"/>
        </w:numPr>
        <w:tabs>
          <w:tab w:val="left" w:pos="837"/>
        </w:tabs>
        <w:spacing w:before="1" w:line="258" w:lineRule="exact"/>
        <w:ind w:right="126"/>
        <w:rPr>
          <w:rFonts w:ascii="Bookman Old Style" w:eastAsia="Bookman Old Style" w:hAnsi="Bookman Old Style" w:cs="Bookman Old Style"/>
        </w:rPr>
      </w:pPr>
      <w:r>
        <w:rPr>
          <w:rFonts w:ascii="Bookman Old Style" w:hAnsi="Bookman Old Style"/>
        </w:rPr>
        <w:t>forms and deadlines for payment of fees referred to in section 1(1).</w:t>
      </w:r>
    </w:p>
    <w:p w:rsidR="00396267" w:rsidRDefault="00AE1399">
      <w:pPr>
        <w:pStyle w:val="Akapitzlist"/>
        <w:numPr>
          <w:ilvl w:val="0"/>
          <w:numId w:val="3"/>
        </w:numPr>
        <w:tabs>
          <w:tab w:val="left" w:pos="477"/>
        </w:tabs>
        <w:spacing w:line="258" w:lineRule="exact"/>
        <w:ind w:right="126"/>
        <w:rPr>
          <w:rFonts w:ascii="Bookman Old Style" w:eastAsia="Bookman Old Style" w:hAnsi="Bookman Old Style" w:cs="Bookman Old Style"/>
        </w:rPr>
      </w:pPr>
      <w:r>
        <w:rPr>
          <w:rFonts w:ascii="Bookman Old Style" w:hAnsi="Bookman Old Style"/>
        </w:rPr>
        <w:t>Terms used herein shall be understood to mean:</w:t>
      </w:r>
    </w:p>
    <w:p w:rsidR="00396267" w:rsidRDefault="00AE1399">
      <w:pPr>
        <w:pStyle w:val="Akapitzlist"/>
        <w:numPr>
          <w:ilvl w:val="1"/>
          <w:numId w:val="3"/>
        </w:numPr>
        <w:tabs>
          <w:tab w:val="left" w:pos="837"/>
        </w:tabs>
        <w:spacing w:before="1"/>
        <w:ind w:right="113"/>
        <w:jc w:val="both"/>
        <w:rPr>
          <w:rFonts w:ascii="Bookman Old Style" w:eastAsia="Bookman Old Style" w:hAnsi="Bookman Old Style" w:cs="Bookman Old Style"/>
        </w:rPr>
      </w:pPr>
      <w:r>
        <w:rPr>
          <w:rFonts w:ascii="Bookman Old Style" w:hAnsi="Bookman Old Style"/>
        </w:rPr>
        <w:t>student - a person enrolled on a degree programme at the University of Opole in the academic year 2022/2023 who is a Polish citizen or a for</w:t>
      </w:r>
      <w:r>
        <w:rPr>
          <w:rFonts w:ascii="Bookman Old Style" w:hAnsi="Bookman Old Style"/>
        </w:rPr>
        <w:t>eign national referred to in Article 324</w:t>
      </w:r>
      <w:r w:rsidR="00047318">
        <w:rPr>
          <w:rFonts w:ascii="Bookman Old Style" w:hAnsi="Bookman Old Style"/>
        </w:rPr>
        <w:t>(</w:t>
      </w:r>
      <w:r>
        <w:rPr>
          <w:rFonts w:ascii="Bookman Old Style" w:hAnsi="Bookman Old Style"/>
        </w:rPr>
        <w:t>2</w:t>
      </w:r>
      <w:r w:rsidR="00047318">
        <w:rPr>
          <w:rFonts w:ascii="Bookman Old Style" w:hAnsi="Bookman Old Style"/>
        </w:rPr>
        <w:t>)</w:t>
      </w:r>
      <w:r>
        <w:rPr>
          <w:rFonts w:ascii="Bookman Old Style" w:hAnsi="Bookman Old Style"/>
        </w:rPr>
        <w:t xml:space="preserve"> of the Act of 20 July 2018 - Law on Higher Education and Science,</w:t>
      </w:r>
    </w:p>
    <w:p w:rsidR="00396267" w:rsidRDefault="00AE1399">
      <w:pPr>
        <w:pStyle w:val="Akapitzlist"/>
        <w:numPr>
          <w:ilvl w:val="1"/>
          <w:numId w:val="3"/>
        </w:numPr>
        <w:tabs>
          <w:tab w:val="left" w:pos="837"/>
        </w:tabs>
        <w:ind w:right="115"/>
        <w:jc w:val="both"/>
        <w:rPr>
          <w:rFonts w:ascii="Bookman Old Style" w:eastAsia="Bookman Old Style" w:hAnsi="Bookman Old Style" w:cs="Bookman Old Style"/>
        </w:rPr>
      </w:pPr>
      <w:r>
        <w:rPr>
          <w:rFonts w:ascii="Bookman Old Style" w:hAnsi="Bookman Old Style"/>
        </w:rPr>
        <w:t>foreigner - a person commencing and pursuing studies at the University of Opole, in the academic year 2022/2023, referred to in Article 32</w:t>
      </w:r>
      <w:r>
        <w:rPr>
          <w:rFonts w:ascii="Bookman Old Style" w:hAnsi="Bookman Old Style"/>
        </w:rPr>
        <w:t>3(1) of the Act of 20 July 2018</w:t>
      </w:r>
      <w:r w:rsidR="00047318">
        <w:rPr>
          <w:rFonts w:ascii="Bookman Old Style" w:hAnsi="Bookman Old Style"/>
        </w:rPr>
        <w:t xml:space="preserve"> </w:t>
      </w:r>
      <w:r>
        <w:rPr>
          <w:rFonts w:ascii="Bookman Old Style" w:hAnsi="Bookman Old Style"/>
        </w:rPr>
        <w:t>- Law on Higher Education and Science.</w:t>
      </w:r>
    </w:p>
    <w:p w:rsidR="00396267" w:rsidRDefault="00396267">
      <w:pPr>
        <w:spacing w:before="2"/>
        <w:rPr>
          <w:rFonts w:ascii="Bookman Old Style" w:eastAsia="Bookman Old Style" w:hAnsi="Bookman Old Style" w:cs="Bookman Old Style"/>
        </w:rPr>
      </w:pPr>
    </w:p>
    <w:p w:rsidR="00396267" w:rsidRDefault="00AE1399">
      <w:pPr>
        <w:pStyle w:val="Tekstpodstawowy"/>
        <w:spacing w:before="0" w:line="258" w:lineRule="exact"/>
        <w:ind w:left="526" w:right="526" w:firstLine="0"/>
        <w:jc w:val="center"/>
        <w:rPr>
          <w:rFonts w:cs="Bookman Old Style"/>
        </w:rPr>
      </w:pPr>
      <w:r>
        <w:rPr>
          <w:b/>
          <w:bCs/>
        </w:rPr>
        <w:t>Section 2</w:t>
      </w:r>
    </w:p>
    <w:p w:rsidR="00396267" w:rsidRDefault="00AE1399">
      <w:pPr>
        <w:pStyle w:val="Tekstpodstawowy"/>
        <w:spacing w:before="0"/>
        <w:ind w:left="116" w:right="126" w:firstLine="0"/>
        <w:rPr>
          <w:rFonts w:cs="Bookman Old Style"/>
        </w:rPr>
      </w:pPr>
      <w:r>
        <w:t>This Regulation shall apply to students and foreigners commencing their studies in the academic year 2022/2023.</w:t>
      </w:r>
    </w:p>
    <w:p w:rsidR="00396267" w:rsidRDefault="00396267">
      <w:pPr>
        <w:spacing w:before="11"/>
        <w:rPr>
          <w:rFonts w:ascii="Bookman Old Style" w:eastAsia="Bookman Old Style" w:hAnsi="Bookman Old Style" w:cs="Bookman Old Style"/>
          <w:sz w:val="21"/>
          <w:szCs w:val="21"/>
        </w:rPr>
      </w:pPr>
    </w:p>
    <w:p w:rsidR="00396267" w:rsidRDefault="00AE1399">
      <w:pPr>
        <w:pStyle w:val="Tekstpodstawowy"/>
        <w:spacing w:before="0" w:line="258" w:lineRule="exact"/>
        <w:ind w:left="526" w:right="526" w:firstLine="0"/>
        <w:jc w:val="center"/>
        <w:rPr>
          <w:rFonts w:cs="Bookman Old Style"/>
        </w:rPr>
      </w:pPr>
      <w:r>
        <w:rPr>
          <w:b/>
          <w:bCs/>
        </w:rPr>
        <w:t>Section 3</w:t>
      </w:r>
    </w:p>
    <w:p w:rsidR="00396267" w:rsidRDefault="00AE1399">
      <w:pPr>
        <w:pStyle w:val="Akapitzlist"/>
        <w:numPr>
          <w:ilvl w:val="0"/>
          <w:numId w:val="2"/>
        </w:numPr>
        <w:tabs>
          <w:tab w:val="left" w:pos="477"/>
        </w:tabs>
        <w:ind w:right="114"/>
        <w:jc w:val="both"/>
        <w:rPr>
          <w:rFonts w:ascii="Bookman Old Style" w:eastAsia="Bookman Old Style" w:hAnsi="Bookman Old Style" w:cs="Bookman Old Style"/>
        </w:rPr>
      </w:pPr>
      <w:r>
        <w:rPr>
          <w:rFonts w:ascii="Bookman Old Style" w:hAnsi="Bookman Old Style"/>
        </w:rPr>
        <w:t>The tuition fees and other fees charged by the Unive</w:t>
      </w:r>
      <w:r>
        <w:rPr>
          <w:rFonts w:ascii="Bookman Old Style" w:hAnsi="Bookman Old Style"/>
        </w:rPr>
        <w:t>rsity of Opole are specified in the appendices to this Regulation:</w:t>
      </w:r>
    </w:p>
    <w:p w:rsidR="00396267" w:rsidRDefault="00AE1399">
      <w:pPr>
        <w:pStyle w:val="Akapitzlist"/>
        <w:numPr>
          <w:ilvl w:val="1"/>
          <w:numId w:val="2"/>
        </w:numPr>
        <w:tabs>
          <w:tab w:val="left" w:pos="837"/>
        </w:tabs>
        <w:ind w:right="114"/>
        <w:jc w:val="both"/>
        <w:rPr>
          <w:rFonts w:ascii="Bookman Old Style" w:eastAsia="Bookman Old Style" w:hAnsi="Bookman Old Style" w:cs="Bookman Old Style"/>
        </w:rPr>
      </w:pPr>
      <w:r>
        <w:rPr>
          <w:rFonts w:ascii="Bookman Old Style" w:hAnsi="Bookman Old Style"/>
        </w:rPr>
        <w:t xml:space="preserve">the tuition fees on part-time programmes are specified in </w:t>
      </w:r>
      <w:r w:rsidRPr="00047318">
        <w:rPr>
          <w:rFonts w:ascii="Bookman Old Style" w:hAnsi="Bookman Old Style"/>
          <w:b/>
        </w:rPr>
        <w:t>Appendix 1</w:t>
      </w:r>
      <w:r>
        <w:rPr>
          <w:rFonts w:ascii="Bookman Old Style" w:hAnsi="Bookman Old Style"/>
        </w:rPr>
        <w:t xml:space="preserve"> to this Regulation.</w:t>
      </w:r>
    </w:p>
    <w:p w:rsidR="00396267" w:rsidRDefault="00AE1399">
      <w:pPr>
        <w:pStyle w:val="Akapitzlist"/>
        <w:numPr>
          <w:ilvl w:val="1"/>
          <w:numId w:val="2"/>
        </w:numPr>
        <w:tabs>
          <w:tab w:val="left" w:pos="837"/>
        </w:tabs>
        <w:spacing w:before="1"/>
        <w:ind w:right="119"/>
        <w:jc w:val="both"/>
        <w:rPr>
          <w:rFonts w:ascii="Bookman Old Style" w:eastAsia="Bookman Old Style" w:hAnsi="Bookman Old Style" w:cs="Bookman Old Style"/>
        </w:rPr>
      </w:pPr>
      <w:r>
        <w:rPr>
          <w:rFonts w:ascii="Bookman Old Style" w:hAnsi="Bookman Old Style"/>
        </w:rPr>
        <w:t xml:space="preserve">tuition fees for foreigners are specified in </w:t>
      </w:r>
      <w:r w:rsidRPr="00047318">
        <w:rPr>
          <w:rFonts w:ascii="Bookman Old Style" w:hAnsi="Bookman Old Style"/>
          <w:b/>
        </w:rPr>
        <w:t>Appendix 2</w:t>
      </w:r>
      <w:r>
        <w:rPr>
          <w:rFonts w:ascii="Bookman Old Style" w:hAnsi="Bookman Old Style"/>
        </w:rPr>
        <w:t xml:space="preserve"> to this Regulation.</w:t>
      </w:r>
    </w:p>
    <w:p w:rsidR="00396267" w:rsidRDefault="00396267">
      <w:pPr>
        <w:jc w:val="both"/>
        <w:rPr>
          <w:rFonts w:ascii="Bookman Old Style" w:eastAsia="Bookman Old Style" w:hAnsi="Bookman Old Style" w:cs="Bookman Old Style"/>
        </w:rPr>
        <w:sectPr w:rsidR="00396267" w:rsidSect="00FA6188">
          <w:type w:val="continuous"/>
          <w:pgSz w:w="11910" w:h="16840"/>
          <w:pgMar w:top="993" w:right="1300" w:bottom="280" w:left="1300" w:header="708" w:footer="708" w:gutter="0"/>
          <w:cols w:space="708"/>
        </w:sectPr>
      </w:pPr>
    </w:p>
    <w:p w:rsidR="00396267" w:rsidRDefault="00AE1399">
      <w:pPr>
        <w:pStyle w:val="Akapitzlist"/>
        <w:numPr>
          <w:ilvl w:val="1"/>
          <w:numId w:val="2"/>
        </w:numPr>
        <w:tabs>
          <w:tab w:val="left" w:pos="837"/>
        </w:tabs>
        <w:spacing w:before="56"/>
        <w:ind w:right="112"/>
        <w:jc w:val="both"/>
        <w:rPr>
          <w:rFonts w:ascii="Bookman Old Style" w:eastAsia="Bookman Old Style" w:hAnsi="Bookman Old Style" w:cs="Bookman Old Style"/>
        </w:rPr>
      </w:pPr>
      <w:r>
        <w:rPr>
          <w:rFonts w:ascii="Bookman Old Style" w:hAnsi="Bookman Old Style"/>
        </w:rPr>
        <w:lastRenderedPageBreak/>
        <w:t xml:space="preserve">tuition fees for full-time programmes in English are specified in </w:t>
      </w:r>
      <w:r w:rsidRPr="00047318">
        <w:rPr>
          <w:rFonts w:ascii="Bookman Old Style" w:hAnsi="Bookman Old Style"/>
          <w:b/>
        </w:rPr>
        <w:t>Appendix 3</w:t>
      </w:r>
      <w:r>
        <w:rPr>
          <w:rFonts w:ascii="Bookman Old Style" w:hAnsi="Bookman Old Style"/>
        </w:rPr>
        <w:t xml:space="preserve"> to this Regulation.</w:t>
      </w:r>
    </w:p>
    <w:p w:rsidR="00396267" w:rsidRDefault="00AE1399">
      <w:pPr>
        <w:pStyle w:val="Akapitzlist"/>
        <w:numPr>
          <w:ilvl w:val="1"/>
          <w:numId w:val="2"/>
        </w:numPr>
        <w:tabs>
          <w:tab w:val="left" w:pos="837"/>
        </w:tabs>
        <w:ind w:right="116"/>
        <w:jc w:val="both"/>
        <w:rPr>
          <w:rFonts w:ascii="Bookman Old Style" w:eastAsia="Bookman Old Style" w:hAnsi="Bookman Old Style" w:cs="Bookman Old Style"/>
        </w:rPr>
      </w:pPr>
      <w:r>
        <w:rPr>
          <w:rFonts w:ascii="Bookman Old Style" w:hAnsi="Bookman Old Style"/>
        </w:rPr>
        <w:t xml:space="preserve">the fees for repeating </w:t>
      </w:r>
      <w:r w:rsidR="00047318">
        <w:rPr>
          <w:rFonts w:ascii="Bookman Old Style" w:hAnsi="Bookman Old Style"/>
        </w:rPr>
        <w:t>courses</w:t>
      </w:r>
      <w:r>
        <w:rPr>
          <w:rFonts w:ascii="Bookman Old Style" w:hAnsi="Bookman Old Style"/>
        </w:rPr>
        <w:t xml:space="preserve"> </w:t>
      </w:r>
      <w:r w:rsidR="00047318">
        <w:rPr>
          <w:rFonts w:ascii="Bookman Old Style" w:hAnsi="Bookman Old Style"/>
        </w:rPr>
        <w:t>due to</w:t>
      </w:r>
      <w:r>
        <w:rPr>
          <w:rFonts w:ascii="Bookman Old Style" w:hAnsi="Bookman Old Style"/>
        </w:rPr>
        <w:t xml:space="preserve"> unsatisfactory academic performance, the fees for </w:t>
      </w:r>
      <w:r w:rsidR="00047318">
        <w:rPr>
          <w:rFonts w:ascii="Bookman Old Style" w:hAnsi="Bookman Old Style"/>
        </w:rPr>
        <w:t>courses</w:t>
      </w:r>
      <w:r>
        <w:rPr>
          <w:rFonts w:ascii="Bookman Old Style" w:hAnsi="Bookman Old Style"/>
        </w:rPr>
        <w:t xml:space="preserve"> not covered by the study curriculum, and other fees charged</w:t>
      </w:r>
      <w:r>
        <w:rPr>
          <w:rFonts w:ascii="Bookman Old Style" w:hAnsi="Bookman Old Style"/>
        </w:rPr>
        <w:t xml:space="preserve"> by the University of Opole are stipulated in </w:t>
      </w:r>
      <w:r>
        <w:rPr>
          <w:rFonts w:ascii="Bookman Old Style" w:hAnsi="Bookman Old Style"/>
          <w:b/>
        </w:rPr>
        <w:t>Appendix 4</w:t>
      </w:r>
      <w:r>
        <w:rPr>
          <w:rFonts w:ascii="Bookman Old Style" w:hAnsi="Bookman Old Style"/>
        </w:rPr>
        <w:t xml:space="preserve"> to this Regulation.</w:t>
      </w:r>
    </w:p>
    <w:p w:rsidR="00396267" w:rsidRDefault="00396267">
      <w:pPr>
        <w:spacing w:before="11"/>
        <w:rPr>
          <w:rFonts w:ascii="Bookman Old Style" w:eastAsia="Bookman Old Style" w:hAnsi="Bookman Old Style" w:cs="Bookman Old Style"/>
          <w:sz w:val="21"/>
          <w:szCs w:val="21"/>
        </w:rPr>
      </w:pPr>
    </w:p>
    <w:p w:rsidR="00396267" w:rsidRDefault="00AE1399">
      <w:pPr>
        <w:pStyle w:val="Tekstpodstawowy"/>
        <w:spacing w:before="0"/>
        <w:ind w:left="526" w:right="526" w:firstLine="0"/>
        <w:jc w:val="center"/>
        <w:rPr>
          <w:rFonts w:cs="Bookman Old Style"/>
        </w:rPr>
      </w:pPr>
      <w:r>
        <w:rPr>
          <w:b/>
          <w:bCs/>
        </w:rPr>
        <w:t>Section 4</w:t>
      </w:r>
    </w:p>
    <w:p w:rsidR="00396267" w:rsidRDefault="00AE1399">
      <w:pPr>
        <w:pStyle w:val="Akapitzlist"/>
        <w:numPr>
          <w:ilvl w:val="0"/>
          <w:numId w:val="1"/>
        </w:numPr>
        <w:tabs>
          <w:tab w:val="left" w:pos="477"/>
        </w:tabs>
        <w:spacing w:before="1" w:line="258" w:lineRule="exact"/>
        <w:ind w:right="126"/>
        <w:rPr>
          <w:rFonts w:ascii="Bookman Old Style" w:eastAsia="Bookman Old Style" w:hAnsi="Bookman Old Style" w:cs="Bookman Old Style"/>
        </w:rPr>
      </w:pPr>
      <w:r>
        <w:rPr>
          <w:rFonts w:ascii="Bookman Old Style" w:hAnsi="Bookman Old Style"/>
        </w:rPr>
        <w:t xml:space="preserve">Forms and deadlines of payment of fees referred to in </w:t>
      </w:r>
      <w:r>
        <w:rPr>
          <w:rFonts w:ascii="Bookman Old Style" w:hAnsi="Bookman Old Style"/>
          <w:b/>
        </w:rPr>
        <w:t>section 3</w:t>
      </w:r>
      <w:r>
        <w:rPr>
          <w:rFonts w:ascii="Bookman Old Style" w:hAnsi="Bookman Old Style"/>
        </w:rPr>
        <w:t xml:space="preserve"> are as follows:</w:t>
      </w:r>
    </w:p>
    <w:p w:rsidR="00396267" w:rsidRDefault="00AE1399">
      <w:pPr>
        <w:pStyle w:val="Akapitzlist"/>
        <w:numPr>
          <w:ilvl w:val="1"/>
          <w:numId w:val="1"/>
        </w:numPr>
        <w:tabs>
          <w:tab w:val="left" w:pos="837"/>
        </w:tabs>
        <w:ind w:right="113"/>
        <w:jc w:val="both"/>
        <w:rPr>
          <w:rFonts w:ascii="Bookman Old Style" w:eastAsia="Bookman Old Style" w:hAnsi="Bookman Old Style" w:cs="Bookman Old Style"/>
        </w:rPr>
      </w:pPr>
      <w:r>
        <w:rPr>
          <w:rFonts w:ascii="Bookman Old Style" w:hAnsi="Bookman Old Style"/>
        </w:rPr>
        <w:t>for students: fees for part-time studies shall be paid in eight [8] equal monthly instal</w:t>
      </w:r>
      <w:r>
        <w:rPr>
          <w:rFonts w:ascii="Bookman Old Style" w:hAnsi="Bookman Old Style"/>
        </w:rPr>
        <w:t>ments, payable in advance from October to January and from March to June by the tenth [10</w:t>
      </w:r>
      <w:r w:rsidR="00047318">
        <w:rPr>
          <w:rFonts w:ascii="Bookman Old Style" w:hAnsi="Bookman Old Style"/>
        </w:rPr>
        <w:t>th</w:t>
      </w:r>
      <w:r>
        <w:rPr>
          <w:rFonts w:ascii="Bookman Old Style" w:hAnsi="Bookman Old Style"/>
        </w:rPr>
        <w:t>] day of each month,</w:t>
      </w:r>
    </w:p>
    <w:p w:rsidR="00396267" w:rsidRDefault="00AE1399">
      <w:pPr>
        <w:pStyle w:val="Akapitzlist"/>
        <w:numPr>
          <w:ilvl w:val="1"/>
          <w:numId w:val="1"/>
        </w:numPr>
        <w:tabs>
          <w:tab w:val="left" w:pos="837"/>
        </w:tabs>
        <w:spacing w:before="1" w:line="258" w:lineRule="exact"/>
        <w:ind w:right="126"/>
        <w:rPr>
          <w:rFonts w:ascii="Bookman Old Style" w:eastAsia="Bookman Old Style" w:hAnsi="Bookman Old Style" w:cs="Bookman Old Style"/>
        </w:rPr>
      </w:pPr>
      <w:r>
        <w:rPr>
          <w:rFonts w:ascii="Bookman Old Style" w:hAnsi="Bookman Old Style"/>
        </w:rPr>
        <w:t>for foreigners:</w:t>
      </w:r>
    </w:p>
    <w:p w:rsidR="00396267" w:rsidRDefault="00AE1399">
      <w:pPr>
        <w:pStyle w:val="Akapitzlist"/>
        <w:numPr>
          <w:ilvl w:val="2"/>
          <w:numId w:val="1"/>
        </w:numPr>
        <w:tabs>
          <w:tab w:val="left" w:pos="1185"/>
        </w:tabs>
        <w:ind w:right="112"/>
        <w:jc w:val="both"/>
        <w:rPr>
          <w:rFonts w:ascii="Bookman Old Style" w:eastAsia="Bookman Old Style" w:hAnsi="Bookman Old Style" w:cs="Bookman Old Style"/>
        </w:rPr>
      </w:pPr>
      <w:r>
        <w:rPr>
          <w:rFonts w:ascii="Bookman Old Style" w:hAnsi="Bookman Old Style"/>
        </w:rPr>
        <w:t>fees for full-time and part-time studies are paid by semester, before the beginning of the semester, not later than by the date of</w:t>
      </w:r>
      <w:r>
        <w:rPr>
          <w:rFonts w:ascii="Bookman Old Style" w:hAnsi="Bookman Old Style"/>
        </w:rPr>
        <w:t xml:space="preserve"> commencement of classes in accordance with the schedule of classes, except for the first semester, for which the fee is paid not later than fourteen [14] days from the date of qualifying the foreigner in the IRK system;</w:t>
      </w:r>
    </w:p>
    <w:p w:rsidR="00396267" w:rsidRDefault="00AE1399">
      <w:pPr>
        <w:pStyle w:val="Akapitzlist"/>
        <w:numPr>
          <w:ilvl w:val="2"/>
          <w:numId w:val="1"/>
        </w:numPr>
        <w:tabs>
          <w:tab w:val="left" w:pos="1185"/>
        </w:tabs>
        <w:ind w:right="114"/>
        <w:jc w:val="both"/>
        <w:rPr>
          <w:rFonts w:ascii="Bookman Old Style" w:eastAsia="Bookman Old Style" w:hAnsi="Bookman Old Style" w:cs="Bookman Old Style"/>
        </w:rPr>
      </w:pPr>
      <w:r>
        <w:rPr>
          <w:rFonts w:ascii="Bookman Old Style" w:hAnsi="Bookman Old Style"/>
        </w:rPr>
        <w:t xml:space="preserve">fees for postgraduate </w:t>
      </w:r>
      <w:r w:rsidR="00047318">
        <w:rPr>
          <w:rFonts w:ascii="Bookman Old Style" w:hAnsi="Bookman Old Style"/>
        </w:rPr>
        <w:t xml:space="preserve">diploma </w:t>
      </w:r>
      <w:r>
        <w:rPr>
          <w:rFonts w:ascii="Bookman Old Style" w:hAnsi="Bookman Old Style"/>
        </w:rPr>
        <w:t xml:space="preserve">studies, scientific and artistic internships, </w:t>
      </w:r>
      <w:proofErr w:type="spellStart"/>
      <w:r>
        <w:rPr>
          <w:rFonts w:ascii="Bookman Old Style" w:hAnsi="Bookman Old Style"/>
        </w:rPr>
        <w:t>habilitation</w:t>
      </w:r>
      <w:proofErr w:type="spellEnd"/>
      <w:r>
        <w:rPr>
          <w:rFonts w:ascii="Bookman Old Style" w:hAnsi="Bookman Old Style"/>
        </w:rPr>
        <w:t xml:space="preserve"> internships, trainings, and for participation in scientific research and development work shall be paid no later than the date of their commencement.</w:t>
      </w:r>
    </w:p>
    <w:p w:rsidR="00396267" w:rsidRDefault="00AE1399">
      <w:pPr>
        <w:pStyle w:val="Akapitzlist"/>
        <w:numPr>
          <w:ilvl w:val="1"/>
          <w:numId w:val="1"/>
        </w:numPr>
        <w:tabs>
          <w:tab w:val="left" w:pos="837"/>
        </w:tabs>
        <w:spacing w:before="1"/>
        <w:ind w:right="114"/>
        <w:jc w:val="both"/>
        <w:rPr>
          <w:rFonts w:ascii="Bookman Old Style" w:eastAsia="Bookman Old Style" w:hAnsi="Bookman Old Style" w:cs="Bookman Old Style"/>
        </w:rPr>
      </w:pPr>
      <w:r>
        <w:rPr>
          <w:rFonts w:ascii="Bookman Old Style" w:hAnsi="Bookman Old Style"/>
        </w:rPr>
        <w:t>for students on full-time</w:t>
      </w:r>
      <w:r>
        <w:rPr>
          <w:rFonts w:ascii="Bookman Old Style" w:hAnsi="Bookman Old Style"/>
        </w:rPr>
        <w:t xml:space="preserve"> </w:t>
      </w:r>
      <w:r w:rsidR="00047318">
        <w:rPr>
          <w:rFonts w:ascii="Bookman Old Style" w:hAnsi="Bookman Old Style"/>
        </w:rPr>
        <w:t>programmes</w:t>
      </w:r>
      <w:r>
        <w:rPr>
          <w:rFonts w:ascii="Bookman Old Style" w:hAnsi="Bookman Old Style"/>
        </w:rPr>
        <w:t xml:space="preserve"> in English, a semester fee shall be paid before the beginning of a </w:t>
      </w:r>
      <w:r w:rsidR="00047318">
        <w:rPr>
          <w:rFonts w:ascii="Bookman Old Style" w:hAnsi="Bookman Old Style"/>
        </w:rPr>
        <w:t xml:space="preserve">given </w:t>
      </w:r>
      <w:r>
        <w:rPr>
          <w:rFonts w:ascii="Bookman Old Style" w:hAnsi="Bookman Old Style"/>
        </w:rPr>
        <w:t>semester, not later than by the date of commencement of classes in accordance with the class schedule, except for the first semester, for which the fee shall be paid not later than</w:t>
      </w:r>
      <w:r>
        <w:rPr>
          <w:rFonts w:ascii="Bookman Old Style" w:hAnsi="Bookman Old Style"/>
        </w:rPr>
        <w:t xml:space="preserve"> fourteen [14] days after the date of a student's qualification in the IRK system</w:t>
      </w:r>
    </w:p>
    <w:p w:rsidR="00396267" w:rsidRDefault="00AE1399">
      <w:pPr>
        <w:pStyle w:val="Akapitzlist"/>
        <w:numPr>
          <w:ilvl w:val="1"/>
          <w:numId w:val="1"/>
        </w:numPr>
        <w:tabs>
          <w:tab w:val="left" w:pos="837"/>
        </w:tabs>
        <w:spacing w:before="1"/>
        <w:ind w:right="112"/>
        <w:jc w:val="both"/>
        <w:rPr>
          <w:rFonts w:ascii="Bookman Old Style" w:eastAsia="Bookman Old Style" w:hAnsi="Bookman Old Style" w:cs="Bookman Old Style"/>
        </w:rPr>
      </w:pPr>
      <w:r>
        <w:rPr>
          <w:rFonts w:ascii="Bookman Old Style" w:hAnsi="Bookman Old Style"/>
        </w:rPr>
        <w:t>for students and foreigners: fees for repeated courses listed in Appendix 4 on full-time and part-time programmes shall be paid before the beginning of each semester:</w:t>
      </w:r>
    </w:p>
    <w:p w:rsidR="00396267" w:rsidRDefault="00AE1399">
      <w:pPr>
        <w:pStyle w:val="Akapitzlist"/>
        <w:numPr>
          <w:ilvl w:val="0"/>
          <w:numId w:val="1"/>
        </w:numPr>
        <w:tabs>
          <w:tab w:val="left" w:pos="477"/>
        </w:tabs>
        <w:spacing w:before="1"/>
        <w:ind w:right="117"/>
        <w:jc w:val="both"/>
        <w:rPr>
          <w:rFonts w:ascii="Bookman Old Style" w:eastAsia="Bookman Old Style" w:hAnsi="Bookman Old Style" w:cs="Bookman Old Style"/>
        </w:rPr>
      </w:pPr>
      <w:r>
        <w:rPr>
          <w:rFonts w:ascii="Bookman Old Style" w:hAnsi="Bookman Old Style"/>
        </w:rPr>
        <w:t>The dat</w:t>
      </w:r>
      <w:r>
        <w:rPr>
          <w:rFonts w:ascii="Bookman Old Style" w:hAnsi="Bookman Old Style"/>
        </w:rPr>
        <w:t xml:space="preserve">e of payment of the fees referred to in </w:t>
      </w:r>
      <w:r>
        <w:rPr>
          <w:rFonts w:ascii="Bookman Old Style" w:hAnsi="Bookman Old Style"/>
        </w:rPr>
        <w:t xml:space="preserve">section </w:t>
      </w:r>
      <w:r w:rsidR="00047318">
        <w:rPr>
          <w:rFonts w:ascii="Bookman Old Style" w:hAnsi="Bookman Old Style"/>
        </w:rPr>
        <w:t>1(</w:t>
      </w:r>
      <w:r>
        <w:rPr>
          <w:rFonts w:ascii="Bookman Old Style" w:hAnsi="Bookman Old Style"/>
        </w:rPr>
        <w:t>1</w:t>
      </w:r>
      <w:r w:rsidR="00047318">
        <w:rPr>
          <w:rFonts w:ascii="Bookman Old Style" w:hAnsi="Bookman Old Style"/>
        </w:rPr>
        <w:t>)</w:t>
      </w:r>
      <w:r>
        <w:rPr>
          <w:rFonts w:ascii="Bookman Old Style" w:hAnsi="Bookman Old Style"/>
        </w:rPr>
        <w:t xml:space="preserve"> shall be the date of crediting the bank account of the University of Opole.</w:t>
      </w:r>
    </w:p>
    <w:p w:rsidR="00396267" w:rsidRDefault="00AE1399">
      <w:pPr>
        <w:pStyle w:val="Akapitzlist"/>
        <w:numPr>
          <w:ilvl w:val="0"/>
          <w:numId w:val="1"/>
        </w:numPr>
        <w:tabs>
          <w:tab w:val="left" w:pos="477"/>
        </w:tabs>
        <w:spacing w:before="1"/>
        <w:ind w:right="110"/>
        <w:jc w:val="both"/>
        <w:rPr>
          <w:rFonts w:ascii="Bookman Old Style" w:eastAsia="Bookman Old Style" w:hAnsi="Bookman Old Style" w:cs="Bookman Old Style"/>
        </w:rPr>
      </w:pPr>
      <w:r>
        <w:rPr>
          <w:rFonts w:ascii="Bookman Old Style" w:hAnsi="Bookman Old Style"/>
        </w:rPr>
        <w:t>In the case of payment of the fees referred to in section 1</w:t>
      </w:r>
      <w:r w:rsidR="00047318">
        <w:rPr>
          <w:rFonts w:ascii="Bookman Old Style" w:hAnsi="Bookman Old Style"/>
        </w:rPr>
        <w:t>(1)</w:t>
      </w:r>
      <w:r>
        <w:rPr>
          <w:rFonts w:ascii="Bookman Old Style" w:hAnsi="Bookman Old Style"/>
        </w:rPr>
        <w:t xml:space="preserve"> after the date specified herein, the University of Opole shall be ent</w:t>
      </w:r>
      <w:r>
        <w:rPr>
          <w:rFonts w:ascii="Bookman Old Style" w:hAnsi="Bookman Old Style"/>
        </w:rPr>
        <w:t>itled to charge statutory interest for late payment.</w:t>
      </w:r>
    </w:p>
    <w:p w:rsidR="00396267" w:rsidRDefault="00AE1399">
      <w:pPr>
        <w:pStyle w:val="Akapitzlist"/>
        <w:numPr>
          <w:ilvl w:val="0"/>
          <w:numId w:val="1"/>
        </w:numPr>
        <w:tabs>
          <w:tab w:val="left" w:pos="477"/>
        </w:tabs>
        <w:spacing w:before="1"/>
        <w:ind w:right="111"/>
        <w:jc w:val="both"/>
        <w:rPr>
          <w:rFonts w:ascii="Bookman Old Style" w:eastAsia="Bookman Old Style" w:hAnsi="Bookman Old Style" w:cs="Bookman Old Style"/>
        </w:rPr>
      </w:pPr>
      <w:r>
        <w:rPr>
          <w:rFonts w:ascii="Bookman Old Style" w:hAnsi="Bookman Old Style"/>
          <w:color w:val="282828"/>
        </w:rPr>
        <w:t>The University of Opole shall not be liable for the consequences of the bank's erroneous classification of the fee paid, resulting from circumstances attributable to the student or foreigner obliged to p</w:t>
      </w:r>
      <w:r>
        <w:rPr>
          <w:rFonts w:ascii="Bookman Old Style" w:hAnsi="Bookman Old Style"/>
          <w:color w:val="282828"/>
        </w:rPr>
        <w:t>ay the fee, in particular as a result of indicating an incorrect bank account number.</w:t>
      </w:r>
    </w:p>
    <w:p w:rsidR="00396267" w:rsidRDefault="00AE1399">
      <w:pPr>
        <w:pStyle w:val="Akapitzlist"/>
        <w:numPr>
          <w:ilvl w:val="0"/>
          <w:numId w:val="1"/>
        </w:numPr>
        <w:tabs>
          <w:tab w:val="left" w:pos="477"/>
        </w:tabs>
        <w:spacing w:before="1"/>
        <w:ind w:right="112"/>
        <w:jc w:val="both"/>
        <w:rPr>
          <w:rFonts w:ascii="Bookman Old Style" w:eastAsia="Bookman Old Style" w:hAnsi="Bookman Old Style" w:cs="Bookman Old Style"/>
        </w:rPr>
      </w:pPr>
      <w:r>
        <w:rPr>
          <w:rFonts w:ascii="Bookman Old Style" w:hAnsi="Bookman Old Style"/>
        </w:rPr>
        <w:t xml:space="preserve">The fees referred to in Appendices No. 2 and No. 3 are refundable in full only if </w:t>
      </w:r>
      <w:r w:rsidR="00047318">
        <w:rPr>
          <w:rFonts w:ascii="Bookman Old Style" w:hAnsi="Bookman Old Style"/>
        </w:rPr>
        <w:t>a</w:t>
      </w:r>
      <w:r>
        <w:rPr>
          <w:rFonts w:ascii="Bookman Old Style" w:hAnsi="Bookman Old Style"/>
        </w:rPr>
        <w:t xml:space="preserve"> student resigns from the study programme before the date of the decision of the Rector of the University of Opole to open the programme.  </w:t>
      </w:r>
      <w:r>
        <w:rPr>
          <w:rFonts w:ascii="Bookman Old Style" w:hAnsi="Bookman Old Style"/>
        </w:rPr>
        <w:t>An application for a refund of t</w:t>
      </w:r>
      <w:r>
        <w:rPr>
          <w:rFonts w:ascii="Bookman Old Style" w:hAnsi="Bookman Old Style"/>
        </w:rPr>
        <w:t xml:space="preserve">he fee should be submitted to the Office </w:t>
      </w:r>
      <w:r w:rsidR="00612EFB">
        <w:rPr>
          <w:rFonts w:ascii="Bookman Old Style" w:hAnsi="Bookman Old Style"/>
        </w:rPr>
        <w:t>o</w:t>
      </w:r>
      <w:r>
        <w:rPr>
          <w:rFonts w:ascii="Bookman Old Style" w:hAnsi="Bookman Old Style"/>
        </w:rPr>
        <w:t xml:space="preserve">f Academic and Student Affairs - </w:t>
      </w:r>
      <w:bookmarkStart w:id="0" w:name="_GoBack"/>
      <w:bookmarkEnd w:id="0"/>
      <w:r>
        <w:rPr>
          <w:rFonts w:ascii="Bookman Old Style" w:hAnsi="Bookman Old Style"/>
        </w:rPr>
        <w:t xml:space="preserve">Services for </w:t>
      </w:r>
      <w:r w:rsidR="00612EFB">
        <w:rPr>
          <w:rFonts w:ascii="Bookman Old Style" w:hAnsi="Bookman Old Style"/>
        </w:rPr>
        <w:t>International</w:t>
      </w:r>
      <w:r>
        <w:rPr>
          <w:rFonts w:ascii="Bookman Old Style" w:hAnsi="Bookman Old Style"/>
        </w:rPr>
        <w:t xml:space="preserve"> Students by </w:t>
      </w:r>
      <w:r w:rsidRPr="00612EFB">
        <w:rPr>
          <w:rFonts w:ascii="Bookman Old Style" w:hAnsi="Bookman Old Style"/>
          <w:b/>
        </w:rPr>
        <w:t>14 September 2022</w:t>
      </w:r>
      <w:r>
        <w:rPr>
          <w:rFonts w:ascii="Bookman Old Style" w:hAnsi="Bookman Old Style"/>
        </w:rPr>
        <w:t>.</w:t>
      </w:r>
    </w:p>
    <w:p w:rsidR="00396267" w:rsidRDefault="00AE1399">
      <w:pPr>
        <w:pStyle w:val="Akapitzlist"/>
        <w:numPr>
          <w:ilvl w:val="0"/>
          <w:numId w:val="1"/>
        </w:numPr>
        <w:tabs>
          <w:tab w:val="left" w:pos="477"/>
        </w:tabs>
        <w:spacing w:before="1"/>
        <w:ind w:right="112"/>
        <w:jc w:val="both"/>
        <w:rPr>
          <w:rFonts w:ascii="Bookman Old Style" w:eastAsia="Bookman Old Style" w:hAnsi="Bookman Old Style" w:cs="Bookman Old Style"/>
        </w:rPr>
      </w:pPr>
      <w:r>
        <w:rPr>
          <w:rFonts w:ascii="Bookman Old Style" w:hAnsi="Bookman Old Style"/>
        </w:rPr>
        <w:t>The fees referred to in Appendices No. 2 and No. 3 are refundable in the amount reduced by ten [10] percent [%]</w:t>
      </w:r>
      <w:r>
        <w:rPr>
          <w:rFonts w:ascii="Bookman Old Style" w:hAnsi="Bookman Old Style"/>
        </w:rPr>
        <w:t xml:space="preserve"> in the case of resignation from the studies in the period from the date of the decision of the Rector of the University of Opole on the opening of the programme to the date of commencement of the winter semester, counting from the day following the day on</w:t>
      </w:r>
      <w:r>
        <w:rPr>
          <w:rFonts w:ascii="Bookman Old Style" w:hAnsi="Bookman Old Style"/>
        </w:rPr>
        <w:t xml:space="preserve"> which the student submitted the resignation from the studies to the head of the unit.</w:t>
      </w:r>
    </w:p>
    <w:p w:rsidR="00396267" w:rsidRDefault="00396267">
      <w:pPr>
        <w:jc w:val="both"/>
        <w:rPr>
          <w:rFonts w:ascii="Bookman Old Style" w:eastAsia="Bookman Old Style" w:hAnsi="Bookman Old Style" w:cs="Bookman Old Style"/>
        </w:rPr>
        <w:sectPr w:rsidR="00396267">
          <w:pgSz w:w="11910" w:h="16840"/>
          <w:pgMar w:top="1340" w:right="1300" w:bottom="280" w:left="1300" w:header="708" w:footer="708" w:gutter="0"/>
          <w:cols w:space="708"/>
        </w:sectPr>
      </w:pPr>
    </w:p>
    <w:p w:rsidR="00396267" w:rsidRDefault="00AE1399">
      <w:pPr>
        <w:pStyle w:val="Akapitzlist"/>
        <w:numPr>
          <w:ilvl w:val="0"/>
          <w:numId w:val="1"/>
        </w:numPr>
        <w:tabs>
          <w:tab w:val="left" w:pos="477"/>
        </w:tabs>
        <w:spacing w:before="56"/>
        <w:ind w:right="112"/>
        <w:jc w:val="both"/>
        <w:rPr>
          <w:rFonts w:ascii="Bookman Old Style" w:eastAsia="Bookman Old Style" w:hAnsi="Bookman Old Style" w:cs="Bookman Old Style"/>
        </w:rPr>
      </w:pPr>
      <w:r>
        <w:rPr>
          <w:rFonts w:ascii="Bookman Old Style" w:hAnsi="Bookman Old Style"/>
        </w:rPr>
        <w:lastRenderedPageBreak/>
        <w:t xml:space="preserve">The fees referred to in </w:t>
      </w:r>
      <w:r w:rsidR="00612EFB">
        <w:rPr>
          <w:rFonts w:ascii="Bookman Old Style" w:hAnsi="Bookman Old Style"/>
        </w:rPr>
        <w:t>A</w:t>
      </w:r>
      <w:r>
        <w:rPr>
          <w:rFonts w:ascii="Bookman Old Style" w:hAnsi="Bookman Old Style"/>
        </w:rPr>
        <w:t>ppendices no. 2 and no. 3 are refunded in an amount reduced proportionally for the period from the date of commencement of the win</w:t>
      </w:r>
      <w:r>
        <w:rPr>
          <w:rFonts w:ascii="Bookman Old Style" w:hAnsi="Bookman Old Style"/>
        </w:rPr>
        <w:t>ter semester to the end of the semester for which they were paid, in the case of resignation from the studies by the date of commencement of the winter semester, counting from the day following the day on which the student submitted his/her resignation fro</w:t>
      </w:r>
      <w:r>
        <w:rPr>
          <w:rFonts w:ascii="Bookman Old Style" w:hAnsi="Bookman Old Style"/>
        </w:rPr>
        <w:t>m the studies to the head of the unit.</w:t>
      </w:r>
    </w:p>
    <w:p w:rsidR="00396267" w:rsidRDefault="00AE1399">
      <w:pPr>
        <w:pStyle w:val="Akapitzlist"/>
        <w:numPr>
          <w:ilvl w:val="0"/>
          <w:numId w:val="1"/>
        </w:numPr>
        <w:tabs>
          <w:tab w:val="left" w:pos="477"/>
        </w:tabs>
        <w:spacing w:before="1"/>
        <w:ind w:right="111"/>
        <w:jc w:val="both"/>
        <w:rPr>
          <w:rFonts w:ascii="Bookman Old Style" w:eastAsia="Bookman Old Style" w:hAnsi="Bookman Old Style" w:cs="Bookman Old Style"/>
        </w:rPr>
      </w:pPr>
      <w:r>
        <w:rPr>
          <w:rFonts w:ascii="Bookman Old Style" w:hAnsi="Bookman Old Style"/>
        </w:rPr>
        <w:t>The refund of the fee is made to the bank account number indicated in writing by the student or foreigner.  The University of Opole does not bear any costs of bank transfers, including foreign transfers.</w:t>
      </w:r>
    </w:p>
    <w:p w:rsidR="00396267" w:rsidRDefault="00396267">
      <w:pPr>
        <w:spacing w:before="11"/>
        <w:rPr>
          <w:rFonts w:ascii="Bookman Old Style" w:eastAsia="Bookman Old Style" w:hAnsi="Bookman Old Style" w:cs="Bookman Old Style"/>
          <w:sz w:val="21"/>
          <w:szCs w:val="21"/>
        </w:rPr>
      </w:pPr>
    </w:p>
    <w:p w:rsidR="00396267" w:rsidRDefault="00AE1399">
      <w:pPr>
        <w:pStyle w:val="Tekstpodstawowy"/>
        <w:spacing w:before="0"/>
        <w:ind w:left="526" w:right="526" w:firstLine="0"/>
        <w:jc w:val="center"/>
        <w:rPr>
          <w:rFonts w:cs="Bookman Old Style"/>
        </w:rPr>
      </w:pPr>
      <w:r>
        <w:rPr>
          <w:b/>
          <w:bCs/>
        </w:rPr>
        <w:t>Section 5</w:t>
      </w:r>
    </w:p>
    <w:p w:rsidR="00396267" w:rsidRDefault="00AE1399">
      <w:pPr>
        <w:pStyle w:val="Tekstpodstawowy"/>
        <w:ind w:left="116" w:right="126" w:firstLine="0"/>
        <w:rPr>
          <w:rFonts w:cs="Bookman Old Style"/>
        </w:rPr>
      </w:pPr>
      <w:r>
        <w:t>Regulation shall enter into force on the day of signature.</w:t>
      </w:r>
    </w:p>
    <w:p w:rsidR="00396267" w:rsidRDefault="00396267">
      <w:pPr>
        <w:rPr>
          <w:rFonts w:ascii="Bookman Old Style" w:eastAsia="Bookman Old Style" w:hAnsi="Bookman Old Style" w:cs="Bookman Old Style"/>
        </w:rPr>
      </w:pPr>
    </w:p>
    <w:p w:rsidR="00396267" w:rsidRDefault="00396267">
      <w:pPr>
        <w:rPr>
          <w:rFonts w:ascii="Bookman Old Style" w:eastAsia="Bookman Old Style" w:hAnsi="Bookman Old Style" w:cs="Bookman Old Style"/>
        </w:rPr>
      </w:pPr>
    </w:p>
    <w:p w:rsidR="00612EFB" w:rsidRDefault="00AE1399" w:rsidP="00612EFB">
      <w:pPr>
        <w:ind w:left="5985" w:right="126"/>
        <w:jc w:val="center"/>
        <w:rPr>
          <w:rFonts w:ascii="Bookman Old Style"/>
          <w:b/>
          <w:sz w:val="20"/>
        </w:rPr>
      </w:pPr>
      <w:r>
        <w:rPr>
          <w:rFonts w:ascii="Bookman Old Style"/>
          <w:b/>
          <w:sz w:val="20"/>
        </w:rPr>
        <w:t xml:space="preserve">Rector </w:t>
      </w:r>
    </w:p>
    <w:p w:rsidR="00396267" w:rsidRDefault="00AE1399" w:rsidP="00612EFB">
      <w:pPr>
        <w:ind w:left="5985" w:right="126"/>
        <w:jc w:val="center"/>
        <w:rPr>
          <w:rFonts w:ascii="Bookman Old Style" w:eastAsia="Bookman Old Style" w:hAnsi="Bookman Old Style" w:cs="Bookman Old Style"/>
          <w:sz w:val="20"/>
          <w:szCs w:val="20"/>
        </w:rPr>
      </w:pPr>
      <w:r>
        <w:rPr>
          <w:rFonts w:ascii="Bookman Old Style"/>
          <w:b/>
          <w:sz w:val="20"/>
        </w:rPr>
        <w:t>of the University of Opole</w:t>
      </w:r>
    </w:p>
    <w:p w:rsidR="00396267" w:rsidRDefault="00396267">
      <w:pPr>
        <w:spacing w:before="9"/>
        <w:rPr>
          <w:rFonts w:ascii="Bookman Old Style" w:eastAsia="Bookman Old Style" w:hAnsi="Bookman Old Style" w:cs="Bookman Old Style"/>
          <w:b/>
          <w:bCs/>
          <w:sz w:val="19"/>
          <w:szCs w:val="19"/>
        </w:rPr>
      </w:pPr>
    </w:p>
    <w:p w:rsidR="00396267" w:rsidRDefault="00AE1399">
      <w:pPr>
        <w:ind w:right="361"/>
        <w:jc w:val="right"/>
        <w:rPr>
          <w:rFonts w:ascii="Bookman Old Style" w:eastAsia="Bookman Old Style" w:hAnsi="Bookman Old Style" w:cs="Bookman Old Style"/>
          <w:sz w:val="20"/>
          <w:szCs w:val="20"/>
        </w:rPr>
      </w:pPr>
      <w:proofErr w:type="spellStart"/>
      <w:r>
        <w:rPr>
          <w:rFonts w:ascii="Bookman Old Style"/>
          <w:i/>
          <w:sz w:val="20"/>
        </w:rPr>
        <w:t>Prof.</w:t>
      </w:r>
      <w:proofErr w:type="spellEnd"/>
      <w:r>
        <w:rPr>
          <w:rFonts w:ascii="Bookman Old Style"/>
          <w:i/>
          <w:sz w:val="20"/>
        </w:rPr>
        <w:t xml:space="preserve"> Dr </w:t>
      </w:r>
      <w:proofErr w:type="spellStart"/>
      <w:r>
        <w:rPr>
          <w:rFonts w:ascii="Bookman Old Style"/>
          <w:i/>
          <w:sz w:val="20"/>
        </w:rPr>
        <w:t>habil</w:t>
      </w:r>
      <w:proofErr w:type="spellEnd"/>
      <w:r>
        <w:rPr>
          <w:rFonts w:ascii="Bookman Old Style"/>
          <w:i/>
          <w:sz w:val="20"/>
        </w:rPr>
        <w:t xml:space="preserve">. Marek </w:t>
      </w:r>
      <w:proofErr w:type="spellStart"/>
      <w:r>
        <w:rPr>
          <w:rFonts w:ascii="Bookman Old Style"/>
          <w:i/>
          <w:sz w:val="20"/>
        </w:rPr>
        <w:t>Masnyk</w:t>
      </w:r>
      <w:proofErr w:type="spellEnd"/>
    </w:p>
    <w:sectPr w:rsidR="00396267">
      <w:pgSz w:w="1191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D10"/>
    <w:multiLevelType w:val="hybridMultilevel"/>
    <w:tmpl w:val="083EA35E"/>
    <w:lvl w:ilvl="0" w:tplc="C9FEBF6A">
      <w:start w:val="1"/>
      <w:numFmt w:val="decimal"/>
      <w:lvlText w:val="%1."/>
      <w:lvlJc w:val="left"/>
      <w:pPr>
        <w:ind w:left="476" w:hanging="360"/>
        <w:jc w:val="left"/>
      </w:pPr>
      <w:rPr>
        <w:rFonts w:ascii="Bookman Old Style" w:eastAsia="Bookman Old Style" w:hAnsi="Bookman Old Style" w:hint="default"/>
        <w:w w:val="100"/>
        <w:sz w:val="22"/>
        <w:szCs w:val="22"/>
      </w:rPr>
    </w:lvl>
    <w:lvl w:ilvl="1" w:tplc="C78AB15C">
      <w:start w:val="1"/>
      <w:numFmt w:val="decimal"/>
      <w:lvlText w:val="%2)"/>
      <w:lvlJc w:val="left"/>
      <w:pPr>
        <w:ind w:left="836" w:hanging="360"/>
        <w:jc w:val="left"/>
      </w:pPr>
      <w:rPr>
        <w:rFonts w:ascii="Bookman Old Style" w:eastAsia="Bookman Old Style" w:hAnsi="Bookman Old Style" w:hint="default"/>
        <w:w w:val="100"/>
        <w:sz w:val="22"/>
        <w:szCs w:val="22"/>
      </w:rPr>
    </w:lvl>
    <w:lvl w:ilvl="2" w:tplc="B504D08C">
      <w:start w:val="1"/>
      <w:numFmt w:val="lowerLetter"/>
      <w:lvlText w:val="%3)"/>
      <w:lvlJc w:val="left"/>
      <w:pPr>
        <w:ind w:left="1184" w:hanging="360"/>
        <w:jc w:val="left"/>
      </w:pPr>
      <w:rPr>
        <w:rFonts w:ascii="Bookman Old Style" w:eastAsia="Bookman Old Style" w:hAnsi="Bookman Old Style" w:hint="default"/>
        <w:w w:val="100"/>
        <w:sz w:val="22"/>
        <w:szCs w:val="22"/>
      </w:rPr>
    </w:lvl>
    <w:lvl w:ilvl="3" w:tplc="295C3BBA">
      <w:start w:val="1"/>
      <w:numFmt w:val="bullet"/>
      <w:lvlText w:val="•"/>
      <w:lvlJc w:val="left"/>
      <w:pPr>
        <w:ind w:left="2195" w:hanging="360"/>
      </w:pPr>
      <w:rPr>
        <w:rFonts w:hint="default"/>
      </w:rPr>
    </w:lvl>
    <w:lvl w:ilvl="4" w:tplc="9BBE3A48">
      <w:start w:val="1"/>
      <w:numFmt w:val="bullet"/>
      <w:lvlText w:val="•"/>
      <w:lvlJc w:val="left"/>
      <w:pPr>
        <w:ind w:left="3211" w:hanging="360"/>
      </w:pPr>
      <w:rPr>
        <w:rFonts w:hint="default"/>
      </w:rPr>
    </w:lvl>
    <w:lvl w:ilvl="5" w:tplc="2700AC74">
      <w:start w:val="1"/>
      <w:numFmt w:val="bullet"/>
      <w:lvlText w:val="•"/>
      <w:lvlJc w:val="left"/>
      <w:pPr>
        <w:ind w:left="4227" w:hanging="360"/>
      </w:pPr>
      <w:rPr>
        <w:rFonts w:hint="default"/>
      </w:rPr>
    </w:lvl>
    <w:lvl w:ilvl="6" w:tplc="62E21738">
      <w:start w:val="1"/>
      <w:numFmt w:val="bullet"/>
      <w:lvlText w:val="•"/>
      <w:lvlJc w:val="left"/>
      <w:pPr>
        <w:ind w:left="5243" w:hanging="360"/>
      </w:pPr>
      <w:rPr>
        <w:rFonts w:hint="default"/>
      </w:rPr>
    </w:lvl>
    <w:lvl w:ilvl="7" w:tplc="2F7C2930">
      <w:start w:val="1"/>
      <w:numFmt w:val="bullet"/>
      <w:lvlText w:val="•"/>
      <w:lvlJc w:val="left"/>
      <w:pPr>
        <w:ind w:left="6259" w:hanging="360"/>
      </w:pPr>
      <w:rPr>
        <w:rFonts w:hint="default"/>
      </w:rPr>
    </w:lvl>
    <w:lvl w:ilvl="8" w:tplc="7CEA8056">
      <w:start w:val="1"/>
      <w:numFmt w:val="bullet"/>
      <w:lvlText w:val="•"/>
      <w:lvlJc w:val="left"/>
      <w:pPr>
        <w:ind w:left="7274" w:hanging="360"/>
      </w:pPr>
      <w:rPr>
        <w:rFonts w:hint="default"/>
      </w:rPr>
    </w:lvl>
  </w:abstractNum>
  <w:abstractNum w:abstractNumId="1" w15:restartNumberingAfterBreak="0">
    <w:nsid w:val="32CA3A10"/>
    <w:multiLevelType w:val="hybridMultilevel"/>
    <w:tmpl w:val="51EE8B82"/>
    <w:lvl w:ilvl="0" w:tplc="9CB6625A">
      <w:start w:val="1"/>
      <w:numFmt w:val="decimal"/>
      <w:lvlText w:val="%1."/>
      <w:lvlJc w:val="left"/>
      <w:pPr>
        <w:ind w:left="476" w:hanging="360"/>
        <w:jc w:val="left"/>
      </w:pPr>
      <w:rPr>
        <w:rFonts w:ascii="Bookman Old Style" w:eastAsia="Bookman Old Style" w:hAnsi="Bookman Old Style" w:hint="default"/>
        <w:w w:val="100"/>
        <w:sz w:val="22"/>
        <w:szCs w:val="22"/>
      </w:rPr>
    </w:lvl>
    <w:lvl w:ilvl="1" w:tplc="A8A091AC">
      <w:start w:val="1"/>
      <w:numFmt w:val="decimal"/>
      <w:lvlText w:val="%2)"/>
      <w:lvlJc w:val="left"/>
      <w:pPr>
        <w:ind w:left="836" w:hanging="360"/>
        <w:jc w:val="left"/>
      </w:pPr>
      <w:rPr>
        <w:rFonts w:ascii="Bookman Old Style" w:eastAsia="Bookman Old Style" w:hAnsi="Bookman Old Style" w:hint="default"/>
        <w:w w:val="100"/>
        <w:sz w:val="22"/>
        <w:szCs w:val="22"/>
      </w:rPr>
    </w:lvl>
    <w:lvl w:ilvl="2" w:tplc="D9AADA14">
      <w:start w:val="1"/>
      <w:numFmt w:val="bullet"/>
      <w:lvlText w:val="•"/>
      <w:lvlJc w:val="left"/>
      <w:pPr>
        <w:ind w:left="1780" w:hanging="360"/>
      </w:pPr>
      <w:rPr>
        <w:rFonts w:hint="default"/>
      </w:rPr>
    </w:lvl>
    <w:lvl w:ilvl="3" w:tplc="B794240C">
      <w:start w:val="1"/>
      <w:numFmt w:val="bullet"/>
      <w:lvlText w:val="•"/>
      <w:lvlJc w:val="left"/>
      <w:pPr>
        <w:ind w:left="2721" w:hanging="360"/>
      </w:pPr>
      <w:rPr>
        <w:rFonts w:hint="default"/>
      </w:rPr>
    </w:lvl>
    <w:lvl w:ilvl="4" w:tplc="642C42C8">
      <w:start w:val="1"/>
      <w:numFmt w:val="bullet"/>
      <w:lvlText w:val="•"/>
      <w:lvlJc w:val="left"/>
      <w:pPr>
        <w:ind w:left="3662" w:hanging="360"/>
      </w:pPr>
      <w:rPr>
        <w:rFonts w:hint="default"/>
      </w:rPr>
    </w:lvl>
    <w:lvl w:ilvl="5" w:tplc="3E00FCE2">
      <w:start w:val="1"/>
      <w:numFmt w:val="bullet"/>
      <w:lvlText w:val="•"/>
      <w:lvlJc w:val="left"/>
      <w:pPr>
        <w:ind w:left="4602" w:hanging="360"/>
      </w:pPr>
      <w:rPr>
        <w:rFonts w:hint="default"/>
      </w:rPr>
    </w:lvl>
    <w:lvl w:ilvl="6" w:tplc="2A3C8D44">
      <w:start w:val="1"/>
      <w:numFmt w:val="bullet"/>
      <w:lvlText w:val="•"/>
      <w:lvlJc w:val="left"/>
      <w:pPr>
        <w:ind w:left="5543" w:hanging="360"/>
      </w:pPr>
      <w:rPr>
        <w:rFonts w:hint="default"/>
      </w:rPr>
    </w:lvl>
    <w:lvl w:ilvl="7" w:tplc="CC0EEAF0">
      <w:start w:val="1"/>
      <w:numFmt w:val="bullet"/>
      <w:lvlText w:val="•"/>
      <w:lvlJc w:val="left"/>
      <w:pPr>
        <w:ind w:left="6484" w:hanging="360"/>
      </w:pPr>
      <w:rPr>
        <w:rFonts w:hint="default"/>
      </w:rPr>
    </w:lvl>
    <w:lvl w:ilvl="8" w:tplc="BB6819A8">
      <w:start w:val="1"/>
      <w:numFmt w:val="bullet"/>
      <w:lvlText w:val="•"/>
      <w:lvlJc w:val="left"/>
      <w:pPr>
        <w:ind w:left="7424" w:hanging="360"/>
      </w:pPr>
      <w:rPr>
        <w:rFonts w:hint="default"/>
      </w:rPr>
    </w:lvl>
  </w:abstractNum>
  <w:abstractNum w:abstractNumId="2" w15:restartNumberingAfterBreak="0">
    <w:nsid w:val="77252AF2"/>
    <w:multiLevelType w:val="hybridMultilevel"/>
    <w:tmpl w:val="9CEA28D8"/>
    <w:lvl w:ilvl="0" w:tplc="533C9D0C">
      <w:start w:val="1"/>
      <w:numFmt w:val="decimal"/>
      <w:lvlText w:val="%1."/>
      <w:lvlJc w:val="left"/>
      <w:pPr>
        <w:ind w:left="476" w:hanging="360"/>
        <w:jc w:val="left"/>
      </w:pPr>
      <w:rPr>
        <w:rFonts w:ascii="Bookman Old Style" w:eastAsia="Bookman Old Style" w:hAnsi="Bookman Old Style" w:hint="default"/>
        <w:w w:val="100"/>
        <w:sz w:val="22"/>
        <w:szCs w:val="22"/>
      </w:rPr>
    </w:lvl>
    <w:lvl w:ilvl="1" w:tplc="71EA9B82">
      <w:start w:val="1"/>
      <w:numFmt w:val="decimal"/>
      <w:lvlText w:val="%2)"/>
      <w:lvlJc w:val="left"/>
      <w:pPr>
        <w:ind w:left="836" w:hanging="360"/>
        <w:jc w:val="left"/>
      </w:pPr>
      <w:rPr>
        <w:rFonts w:ascii="Bookman Old Style" w:eastAsia="Bookman Old Style" w:hAnsi="Bookman Old Style" w:hint="default"/>
        <w:w w:val="100"/>
        <w:sz w:val="22"/>
        <w:szCs w:val="22"/>
      </w:rPr>
    </w:lvl>
    <w:lvl w:ilvl="2" w:tplc="51303816">
      <w:start w:val="1"/>
      <w:numFmt w:val="bullet"/>
      <w:lvlText w:val="•"/>
      <w:lvlJc w:val="left"/>
      <w:pPr>
        <w:ind w:left="1780" w:hanging="360"/>
      </w:pPr>
      <w:rPr>
        <w:rFonts w:hint="default"/>
      </w:rPr>
    </w:lvl>
    <w:lvl w:ilvl="3" w:tplc="1926319C">
      <w:start w:val="1"/>
      <w:numFmt w:val="bullet"/>
      <w:lvlText w:val="•"/>
      <w:lvlJc w:val="left"/>
      <w:pPr>
        <w:ind w:left="2721" w:hanging="360"/>
      </w:pPr>
      <w:rPr>
        <w:rFonts w:hint="default"/>
      </w:rPr>
    </w:lvl>
    <w:lvl w:ilvl="4" w:tplc="BD7486BE">
      <w:start w:val="1"/>
      <w:numFmt w:val="bullet"/>
      <w:lvlText w:val="•"/>
      <w:lvlJc w:val="left"/>
      <w:pPr>
        <w:ind w:left="3662" w:hanging="360"/>
      </w:pPr>
      <w:rPr>
        <w:rFonts w:hint="default"/>
      </w:rPr>
    </w:lvl>
    <w:lvl w:ilvl="5" w:tplc="C49E8726">
      <w:start w:val="1"/>
      <w:numFmt w:val="bullet"/>
      <w:lvlText w:val="•"/>
      <w:lvlJc w:val="left"/>
      <w:pPr>
        <w:ind w:left="4602" w:hanging="360"/>
      </w:pPr>
      <w:rPr>
        <w:rFonts w:hint="default"/>
      </w:rPr>
    </w:lvl>
    <w:lvl w:ilvl="6" w:tplc="204441C0">
      <w:start w:val="1"/>
      <w:numFmt w:val="bullet"/>
      <w:lvlText w:val="•"/>
      <w:lvlJc w:val="left"/>
      <w:pPr>
        <w:ind w:left="5543" w:hanging="360"/>
      </w:pPr>
      <w:rPr>
        <w:rFonts w:hint="default"/>
      </w:rPr>
    </w:lvl>
    <w:lvl w:ilvl="7" w:tplc="CB54D5D8">
      <w:start w:val="1"/>
      <w:numFmt w:val="bullet"/>
      <w:lvlText w:val="•"/>
      <w:lvlJc w:val="left"/>
      <w:pPr>
        <w:ind w:left="6484" w:hanging="360"/>
      </w:pPr>
      <w:rPr>
        <w:rFonts w:hint="default"/>
      </w:rPr>
    </w:lvl>
    <w:lvl w:ilvl="8" w:tplc="6B809C16">
      <w:start w:val="1"/>
      <w:numFmt w:val="bullet"/>
      <w:lvlText w:val="•"/>
      <w:lvlJc w:val="left"/>
      <w:pPr>
        <w:ind w:left="7424"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96267"/>
    <w:rsid w:val="00047318"/>
    <w:rsid w:val="00396267"/>
    <w:rsid w:val="00612EFB"/>
    <w:rsid w:val="007267F5"/>
    <w:rsid w:val="00AE1399"/>
    <w:rsid w:val="00FA6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E606"/>
  <w15:docId w15:val="{269100AB-50E9-4CB8-A7C9-2A974F8F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style>
  <w:style w:type="paragraph" w:styleId="Nagwek1">
    <w:name w:val="heading 1"/>
    <w:basedOn w:val="Normalny"/>
    <w:uiPriority w:val="1"/>
    <w:qFormat/>
    <w:pPr>
      <w:ind w:left="526"/>
      <w:outlineLvl w:val="0"/>
    </w:pPr>
    <w:rPr>
      <w:rFonts w:ascii="Bookman Old Style" w:eastAsia="Bookman Old Style" w:hAnsi="Bookman Old Style"/>
      <w:sz w:val="28"/>
      <w:szCs w:val="28"/>
    </w:rPr>
  </w:style>
  <w:style w:type="paragraph" w:styleId="Nagwek2">
    <w:name w:val="heading 2"/>
    <w:basedOn w:val="Normalny"/>
    <w:uiPriority w:val="1"/>
    <w:qFormat/>
    <w:pPr>
      <w:spacing w:before="2"/>
      <w:ind w:left="526"/>
      <w:outlineLvl w:val="1"/>
    </w:pPr>
    <w:rPr>
      <w:rFonts w:ascii="Bookman Old Style" w:eastAsia="Bookman Old Style" w:hAnsi="Bookman Old Styl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
      <w:ind w:left="836" w:hanging="360"/>
    </w:pPr>
    <w:rPr>
      <w:rFonts w:ascii="Bookman Old Style" w:eastAsia="Bookman Old Style" w:hAnsi="Bookman Old Style"/>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849</Words>
  <Characters>5100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ei si</cp:lastModifiedBy>
  <cp:revision>4</cp:revision>
  <dcterms:created xsi:type="dcterms:W3CDTF">2022-05-11T12:50:00Z</dcterms:created>
  <dcterms:modified xsi:type="dcterms:W3CDTF">2022-07-03T13:27:00Z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2013</vt:lpwstr>
  </property>
  <property fmtid="{D5CDD505-2E9C-101B-9397-08002B2CF9AE}" pid="4" name="LastSaved">
    <vt:filetime>2022-05-11T00:00:00Z</vt:filetime>
  </property>
</Properties>
</file>