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80" w:rsidRDefault="004F6597">
      <w:pPr>
        <w:pStyle w:val="Tekstpodstawowy"/>
        <w:spacing w:before="54"/>
        <w:ind w:left="3709" w:right="552" w:firstLine="1476"/>
        <w:rPr>
          <w:rFonts w:cs="Bookman Old Style"/>
          <w:i w:val="0"/>
        </w:rPr>
      </w:pPr>
      <w:r>
        <w:t>Appendix No. 4 to Regulation No. 35/2022 of the Rector of the University of Opole of 30 March 2022</w:t>
      </w:r>
    </w:p>
    <w:p w:rsidR="00997F80" w:rsidRDefault="00997F80">
      <w:pPr>
        <w:spacing w:before="4"/>
        <w:rPr>
          <w:rFonts w:ascii="Bookman Old Style" w:eastAsia="Bookman Old Style" w:hAnsi="Bookman Old Style" w:cs="Bookman Old Style"/>
          <w:i/>
        </w:rPr>
      </w:pPr>
    </w:p>
    <w:p w:rsidR="00997F80" w:rsidRDefault="004F6597" w:rsidP="005041A2">
      <w:pPr>
        <w:pStyle w:val="Nagwek1"/>
        <w:ind w:right="611"/>
        <w:jc w:val="center"/>
        <w:rPr>
          <w:rFonts w:cs="Bookman Old Style"/>
        </w:rPr>
      </w:pPr>
      <w:r>
        <w:rPr>
          <w:b/>
        </w:rPr>
        <w:t xml:space="preserve">FEES FOR REPEATING COURSES DUE TO UNSATISFACTORY ACADEMIC PERFORMANCE, FEES </w:t>
      </w:r>
      <w:r>
        <w:rPr>
          <w:b/>
        </w:rPr>
        <w:t>FOR COURSES NOT COVERED BY THE STUDY CURRICULUM, AND OTHER CHARGES COLLECTED BY THE UNIVERSITY OF OPOLE IN THE ACADEMIC YEAR 2022/2023</w:t>
      </w:r>
    </w:p>
    <w:p w:rsidR="00997F80" w:rsidRDefault="00997F80">
      <w:pPr>
        <w:spacing w:before="6"/>
        <w:rPr>
          <w:rFonts w:ascii="Bookman Old Style" w:eastAsia="Bookman Old Style" w:hAnsi="Bookman Old Style" w:cs="Bookman Old Style"/>
          <w:b/>
          <w:bCs/>
          <w:sz w:val="21"/>
          <w:szCs w:val="21"/>
        </w:rPr>
      </w:pPr>
    </w:p>
    <w:p w:rsidR="00997F80" w:rsidRDefault="004F6597">
      <w:pPr>
        <w:pStyle w:val="Nagwek2"/>
        <w:numPr>
          <w:ilvl w:val="0"/>
          <w:numId w:val="4"/>
        </w:numPr>
        <w:tabs>
          <w:tab w:val="left" w:pos="514"/>
        </w:tabs>
        <w:spacing w:before="0"/>
        <w:ind w:right="555" w:hanging="427"/>
      </w:pPr>
      <w:r>
        <w:rPr>
          <w:b/>
        </w:rPr>
        <w:t xml:space="preserve">Fees for repetition of certain courses on full-time </w:t>
      </w:r>
      <w:r w:rsidR="005041A2">
        <w:rPr>
          <w:b/>
        </w:rPr>
        <w:t>programmes</w:t>
      </w:r>
      <w:r>
        <w:rPr>
          <w:b/>
        </w:rPr>
        <w:t xml:space="preserve"> due to unsatisfactory academic performance</w:t>
      </w:r>
    </w:p>
    <w:p w:rsidR="00997F80" w:rsidRDefault="00997F80">
      <w:pPr>
        <w:spacing w:before="12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4"/>
        <w:gridCol w:w="6522"/>
        <w:gridCol w:w="2410"/>
      </w:tblGrid>
      <w:tr w:rsidR="00997F80">
        <w:trPr>
          <w:trHeight w:hRule="exact" w:val="7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before="1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1)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 w:rsidP="005041A2">
            <w:pPr>
              <w:pStyle w:val="TableParagraph"/>
              <w:spacing w:before="1"/>
              <w:ind w:left="105" w:right="107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Fee for repea</w:t>
            </w:r>
            <w:r>
              <w:rPr>
                <w:rFonts w:ascii="Bookman Old Style" w:hAnsi="Bookman Old Style"/>
                <w:sz w:val="20"/>
              </w:rPr>
              <w:t xml:space="preserve">ting </w:t>
            </w:r>
            <w:r w:rsidR="005041A2">
              <w:rPr>
                <w:rFonts w:ascii="Bookman Old Style" w:hAnsi="Bookman Old Style"/>
                <w:sz w:val="20"/>
              </w:rPr>
              <w:t xml:space="preserve">a </w:t>
            </w:r>
            <w:r>
              <w:rPr>
                <w:rFonts w:ascii="Bookman Old Style" w:hAnsi="Bookman Old Style"/>
                <w:sz w:val="20"/>
              </w:rPr>
              <w:t>course</w:t>
            </w:r>
            <w:r>
              <w:rPr>
                <w:rFonts w:ascii="Bookman Old Style" w:hAnsi="Bookman Old Style"/>
                <w:sz w:val="20"/>
              </w:rPr>
              <w:t xml:space="preserve"> due to unsatisfactory academic performance within the repetition of a semester or a conditional entry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997F80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997F80" w:rsidRDefault="004F6597" w:rsidP="005041A2">
            <w:pPr>
              <w:pStyle w:val="TableParagraph"/>
              <w:ind w:left="6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70 PLN/ECTS point</w:t>
            </w:r>
          </w:p>
        </w:tc>
      </w:tr>
      <w:tr w:rsidR="00997F80">
        <w:trPr>
          <w:trHeight w:hRule="exact" w:val="7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2)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ind w:left="105" w:right="107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Fee for repeating courses due to unsatisfactory academic performance within the repetition of a semester or a conditional entry on the medical programme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997F80" w:rsidP="005041A2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997F80" w:rsidRDefault="004F6597" w:rsidP="005041A2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500 PLN/ECTS credit</w:t>
            </w:r>
          </w:p>
        </w:tc>
      </w:tr>
      <w:tr w:rsidR="00997F80">
        <w:trPr>
          <w:trHeight w:hRule="exact" w:val="9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3)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ind w:left="105" w:right="10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Fee for repeating courses due to unsatisfactory academic performance within the repetition of a semester or a conditional credit on dietetics, physiotherapy, cosmetology, nursing and midwifery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997F80" w:rsidP="005041A2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29"/>
                <w:szCs w:val="29"/>
              </w:rPr>
            </w:pPr>
          </w:p>
          <w:p w:rsidR="00997F80" w:rsidRDefault="004F6597" w:rsidP="005041A2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110 PLN/ECTS credit</w:t>
            </w:r>
          </w:p>
        </w:tc>
      </w:tr>
      <w:tr w:rsidR="00997F80">
        <w:trPr>
          <w:trHeight w:hRule="exact" w:val="7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4)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ind w:left="105" w:right="10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Fee for practical classes taken at the</w:t>
            </w:r>
            <w:r>
              <w:rPr>
                <w:rFonts w:ascii="Bookman Old Style" w:hAnsi="Bookman Old Style"/>
                <w:sz w:val="20"/>
              </w:rPr>
              <w:t xml:space="preserve"> additional date on dietetics, physiotherapy, cosmetology, nursing and midwifery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997F80" w:rsidP="005041A2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997F80" w:rsidRDefault="004F6597" w:rsidP="005041A2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220 PLN/ECTS credit</w:t>
            </w:r>
          </w:p>
        </w:tc>
      </w:tr>
      <w:tr w:rsidR="00997F80">
        <w:trPr>
          <w:trHeight w:hRule="exact" w:val="2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5)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Fee for repeating PE classes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 w:rsidP="005041A2">
            <w:pPr>
              <w:pStyle w:val="TableParagraph"/>
              <w:spacing w:line="233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100 PLN/semester</w:t>
            </w:r>
          </w:p>
        </w:tc>
      </w:tr>
      <w:tr w:rsidR="00997F80">
        <w:trPr>
          <w:trHeight w:hRule="exact" w:val="4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6)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The fees for educational services connected with repetition</w:t>
            </w:r>
          </w:p>
          <w:p w:rsidR="00997F80" w:rsidRDefault="004F6597">
            <w:pPr>
              <w:pStyle w:val="TableParagraph"/>
              <w:ind w:left="1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of courses by foreigners 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 w:rsidP="005041A2">
            <w:pPr>
              <w:pStyle w:val="TableParagraph"/>
              <w:ind w:right="23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rates specified in 1), 2) and 3)</w:t>
            </w:r>
          </w:p>
        </w:tc>
      </w:tr>
    </w:tbl>
    <w:p w:rsidR="00997F80" w:rsidRDefault="00997F80">
      <w:pPr>
        <w:spacing w:before="10"/>
        <w:rPr>
          <w:rFonts w:ascii="Bookman Old Style" w:eastAsia="Bookman Old Style" w:hAnsi="Bookman Old Style" w:cs="Bookman Old Style"/>
          <w:b/>
          <w:bCs/>
          <w:sz w:val="13"/>
          <w:szCs w:val="13"/>
        </w:rPr>
      </w:pPr>
    </w:p>
    <w:p w:rsidR="00997F80" w:rsidRDefault="004F6597">
      <w:pPr>
        <w:pStyle w:val="Akapitzlist"/>
        <w:numPr>
          <w:ilvl w:val="0"/>
          <w:numId w:val="4"/>
        </w:numPr>
        <w:tabs>
          <w:tab w:val="left" w:pos="512"/>
        </w:tabs>
        <w:spacing w:before="71"/>
        <w:ind w:left="511" w:right="552" w:hanging="295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b/>
          <w:sz w:val="20"/>
        </w:rPr>
        <w:t>Fees for classes not covered by the programme of study</w:t>
      </w:r>
    </w:p>
    <w:p w:rsidR="00997F80" w:rsidRDefault="00997F80">
      <w:pPr>
        <w:spacing w:before="12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4"/>
        <w:gridCol w:w="6522"/>
        <w:gridCol w:w="2410"/>
      </w:tblGrid>
      <w:tr w:rsidR="00997F80">
        <w:trPr>
          <w:trHeight w:hRule="exact" w:val="4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4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1)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5041A2">
            <w:pPr>
              <w:pStyle w:val="TableParagraph"/>
              <w:ind w:left="105" w:right="10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The fee for </w:t>
            </w:r>
            <w:r w:rsidR="004F6597">
              <w:rPr>
                <w:rFonts w:ascii="Bookman Old Style" w:hAnsi="Bookman Old Style"/>
                <w:sz w:val="20"/>
              </w:rPr>
              <w:t>continuation of foreign language learning beyond the limit set in the plan of study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before="116"/>
              <w:ind w:left="46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250 PLN/semester</w:t>
            </w:r>
          </w:p>
        </w:tc>
      </w:tr>
      <w:tr w:rsidR="00997F80">
        <w:trPr>
          <w:trHeight w:hRule="exact" w:val="4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2)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ind w:left="105" w:right="10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Fees for the participation in recreational and sports activities for students over the limit specified in the plan of study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before="116"/>
              <w:ind w:left="5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60 PLN/semester</w:t>
            </w:r>
          </w:p>
        </w:tc>
      </w:tr>
    </w:tbl>
    <w:p w:rsidR="00997F80" w:rsidRDefault="00997F80">
      <w:pPr>
        <w:spacing w:before="10"/>
        <w:rPr>
          <w:rFonts w:ascii="Bookman Old Style" w:eastAsia="Bookman Old Style" w:hAnsi="Bookman Old Style" w:cs="Bookman Old Style"/>
          <w:b/>
          <w:bCs/>
          <w:sz w:val="13"/>
          <w:szCs w:val="13"/>
        </w:rPr>
      </w:pPr>
    </w:p>
    <w:p w:rsidR="00997F80" w:rsidRDefault="004F6597">
      <w:pPr>
        <w:pStyle w:val="Akapitzlist"/>
        <w:numPr>
          <w:ilvl w:val="0"/>
          <w:numId w:val="4"/>
        </w:numPr>
        <w:tabs>
          <w:tab w:val="left" w:pos="592"/>
        </w:tabs>
        <w:spacing w:before="71"/>
        <w:ind w:left="591" w:right="552" w:hanging="375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b/>
          <w:sz w:val="20"/>
        </w:rPr>
        <w:t>Registration Fees*</w:t>
      </w:r>
    </w:p>
    <w:p w:rsidR="00997F80" w:rsidRDefault="00997F80">
      <w:pPr>
        <w:spacing w:before="12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1"/>
        <w:gridCol w:w="6501"/>
        <w:gridCol w:w="2402"/>
      </w:tblGrid>
      <w:tr w:rsidR="005041A2" w:rsidTr="00182EDB">
        <w:trPr>
          <w:trHeight w:hRule="exact" w:val="2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>
            <w:pPr>
              <w:pStyle w:val="TableParagraph"/>
              <w:spacing w:before="1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1)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 w:rsidP="005041A2">
            <w:pPr>
              <w:pStyle w:val="TableParagraph"/>
              <w:spacing w:before="1"/>
              <w:ind w:left="1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The registration fee paid by candidates: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1A2" w:rsidRDefault="005041A2">
            <w:pPr>
              <w:pStyle w:val="TableParagraph"/>
              <w:spacing w:before="1"/>
              <w:ind w:lef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85/150 PLN</w:t>
            </w:r>
          </w:p>
          <w:p w:rsidR="005041A2" w:rsidRDefault="005041A2" w:rsidP="005041A2">
            <w:pPr>
              <w:pStyle w:val="TableParagraph"/>
              <w:spacing w:line="223" w:lineRule="exact"/>
              <w:ind w:left="4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 xml:space="preserve">in the case of </w:t>
            </w:r>
          </w:p>
          <w:p w:rsidR="005041A2" w:rsidRDefault="005041A2">
            <w:pPr>
              <w:pStyle w:val="TableParagraph"/>
              <w:spacing w:line="224" w:lineRule="exact"/>
              <w:ind w:lef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of the requirement of </w:t>
            </w:r>
          </w:p>
          <w:p w:rsidR="005041A2" w:rsidRDefault="005041A2" w:rsidP="005041A2">
            <w:pPr>
              <w:pStyle w:val="TableParagraph"/>
              <w:spacing w:line="224" w:lineRule="exact"/>
              <w:ind w:left="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checking artistic skills</w:t>
            </w:r>
          </w:p>
        </w:tc>
      </w:tr>
      <w:tr w:rsidR="005041A2" w:rsidTr="00182EDB">
        <w:trPr>
          <w:trHeight w:hRule="exact" w:val="268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/>
        </w:tc>
        <w:tc>
          <w:tcPr>
            <w:tcW w:w="6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>
            <w:pPr>
              <w:pStyle w:val="TableParagraph"/>
              <w:spacing w:line="223" w:lineRule="exact"/>
              <w:ind w:left="1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1A2" w:rsidRDefault="005041A2" w:rsidP="005041A2">
            <w:pPr>
              <w:pStyle w:val="TableParagraph"/>
              <w:spacing w:line="224" w:lineRule="exact"/>
              <w:ind w:left="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5041A2" w:rsidTr="00182EDB">
        <w:trPr>
          <w:trHeight w:hRule="exact" w:val="269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/>
        </w:tc>
        <w:tc>
          <w:tcPr>
            <w:tcW w:w="6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/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1A2" w:rsidRDefault="005041A2" w:rsidP="005041A2">
            <w:pPr>
              <w:pStyle w:val="TableParagraph"/>
              <w:spacing w:line="224" w:lineRule="exact"/>
              <w:ind w:left="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5041A2" w:rsidTr="00182EDB">
        <w:trPr>
          <w:trHeight w:hRule="exact" w:val="269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/>
        </w:tc>
        <w:tc>
          <w:tcPr>
            <w:tcW w:w="6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/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1A2" w:rsidRDefault="005041A2" w:rsidP="005041A2">
            <w:pPr>
              <w:pStyle w:val="TableParagraph"/>
              <w:spacing w:line="224" w:lineRule="exact"/>
              <w:ind w:left="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5041A2" w:rsidTr="00182EDB">
        <w:trPr>
          <w:trHeight w:hRule="exact" w:val="269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/>
        </w:tc>
        <w:tc>
          <w:tcPr>
            <w:tcW w:w="6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1A2" w:rsidRDefault="005041A2"/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1A2" w:rsidRDefault="005041A2" w:rsidP="005041A2">
            <w:pPr>
              <w:pStyle w:val="TableParagraph"/>
              <w:spacing w:line="224" w:lineRule="exact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5041A2" w:rsidTr="005041A2">
        <w:trPr>
          <w:trHeight w:hRule="exact" w:val="8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A2" w:rsidRDefault="005041A2"/>
        </w:tc>
        <w:tc>
          <w:tcPr>
            <w:tcW w:w="6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A2" w:rsidRDefault="005041A2"/>
        </w:tc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A2" w:rsidRDefault="005041A2">
            <w:pPr>
              <w:pStyle w:val="TableParagraph"/>
              <w:spacing w:line="224" w:lineRule="exact"/>
              <w:ind w:lef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997F80" w:rsidRDefault="00997F80">
      <w:pPr>
        <w:spacing w:before="5"/>
        <w:rPr>
          <w:rFonts w:ascii="Bookman Old Style" w:eastAsia="Bookman Old Style" w:hAnsi="Bookman Old Style" w:cs="Bookman Old Style"/>
          <w:b/>
          <w:bCs/>
          <w:sz w:val="13"/>
          <w:szCs w:val="13"/>
        </w:rPr>
      </w:pPr>
    </w:p>
    <w:p w:rsidR="00997F80" w:rsidRDefault="004F6597">
      <w:pPr>
        <w:pStyle w:val="Tekstpodstawowy"/>
        <w:spacing w:before="71"/>
        <w:ind w:right="564" w:firstLine="0"/>
        <w:jc w:val="both"/>
        <w:rPr>
          <w:rFonts w:cs="Bookman Old Style"/>
          <w:i w:val="0"/>
        </w:rPr>
      </w:pPr>
      <w:r>
        <w:t>* Fees paid by the candidate are not refundable. With the exception of the following cases:</w:t>
      </w:r>
    </w:p>
    <w:p w:rsidR="00997F80" w:rsidRDefault="004F6597">
      <w:pPr>
        <w:pStyle w:val="Akapitzlist"/>
        <w:numPr>
          <w:ilvl w:val="0"/>
          <w:numId w:val="3"/>
        </w:numPr>
        <w:tabs>
          <w:tab w:val="left" w:pos="577"/>
        </w:tabs>
        <w:spacing w:before="1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i/>
          <w:sz w:val="20"/>
        </w:rPr>
        <w:t>the programme has not been opened due to the lack of the sufficient number of candidates;</w:t>
      </w:r>
    </w:p>
    <w:p w:rsidR="00997F80" w:rsidRDefault="004F6597">
      <w:pPr>
        <w:pStyle w:val="Akapitzlist"/>
        <w:numPr>
          <w:ilvl w:val="0"/>
          <w:numId w:val="3"/>
        </w:numPr>
        <w:tabs>
          <w:tab w:val="left" w:pos="577"/>
        </w:tabs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i/>
          <w:sz w:val="20"/>
        </w:rPr>
        <w:t>the candidate has erroneously paid a higher amount of money;</w:t>
      </w:r>
    </w:p>
    <w:p w:rsidR="00997F80" w:rsidRDefault="004F6597">
      <w:pPr>
        <w:pStyle w:val="Akapitzlist"/>
        <w:numPr>
          <w:ilvl w:val="0"/>
          <w:numId w:val="3"/>
        </w:numPr>
        <w:tabs>
          <w:tab w:val="left" w:pos="577"/>
        </w:tabs>
        <w:ind w:right="555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invalid registration – no registration for a given programme, or payment after due date, or lack of a document entitling the candidate to apply for studies (failed secondary school leaving exams)</w:t>
      </w:r>
    </w:p>
    <w:p w:rsidR="00997F80" w:rsidRDefault="00997F80">
      <w:pPr>
        <w:spacing w:before="10"/>
        <w:rPr>
          <w:rFonts w:ascii="Bookman Old Style" w:eastAsia="Bookman Old Style" w:hAnsi="Bookman Old Style" w:cs="Bookman Old Style"/>
          <w:i/>
          <w:sz w:val="19"/>
          <w:szCs w:val="19"/>
        </w:rPr>
      </w:pPr>
    </w:p>
    <w:p w:rsidR="00997F80" w:rsidRDefault="004F6597" w:rsidP="005041A2">
      <w:pPr>
        <w:pStyle w:val="Tekstpodstawowy"/>
        <w:ind w:right="553" w:firstLine="0"/>
      </w:pPr>
      <w:r>
        <w:t xml:space="preserve">The fee shall be reimbursed upon a written request from the candidate </w:t>
      </w:r>
      <w:r>
        <w:t xml:space="preserve">submitted by October 31, 2022 (summer admissions), or by March 31, 2023 (winter admissions). </w:t>
      </w:r>
      <w:r>
        <w:t>Instructions for proceeding and a sample application form can be found on the University of</w:t>
      </w:r>
      <w:r>
        <w:t xml:space="preserve"> Opole website under</w:t>
      </w:r>
      <w:r w:rsidR="005041A2">
        <w:t xml:space="preserve"> </w:t>
      </w:r>
      <w:r>
        <w:t>"Candidate - Studies 2022/23 - Registration Fee".</w:t>
      </w:r>
      <w:r w:rsidR="005041A2">
        <w:t xml:space="preserve"> </w:t>
      </w:r>
      <w:r>
        <w:t xml:space="preserve">  The application confirmed by the Rector's Proxy for</w:t>
      </w:r>
      <w:r w:rsidR="005041A2">
        <w:t xml:space="preserve"> </w:t>
      </w:r>
      <w:r>
        <w:t>A</w:t>
      </w:r>
      <w:r>
        <w:t>dmissions is sent to the Accounting Office and the refund is made to the bank account number provided by the cand</w:t>
      </w:r>
      <w:r>
        <w:t>idate in the application.</w:t>
      </w:r>
    </w:p>
    <w:p w:rsidR="00D97C33" w:rsidRDefault="00D97C33" w:rsidP="005041A2">
      <w:pPr>
        <w:pStyle w:val="Tekstpodstawowy"/>
        <w:ind w:right="553" w:firstLine="0"/>
      </w:pPr>
    </w:p>
    <w:p w:rsidR="00D97C33" w:rsidRDefault="00D97C33" w:rsidP="005041A2">
      <w:pPr>
        <w:pStyle w:val="Tekstpodstawowy"/>
        <w:ind w:right="553" w:firstLine="0"/>
      </w:pPr>
    </w:p>
    <w:p w:rsidR="00D97C33" w:rsidRDefault="00D97C33" w:rsidP="005041A2">
      <w:pPr>
        <w:pStyle w:val="Tekstpodstawowy"/>
        <w:ind w:right="553" w:firstLine="0"/>
      </w:pPr>
    </w:p>
    <w:p w:rsidR="00D97C33" w:rsidRDefault="00D97C33" w:rsidP="005041A2">
      <w:pPr>
        <w:pStyle w:val="Tekstpodstawowy"/>
        <w:ind w:right="553" w:firstLine="0"/>
        <w:rPr>
          <w:rFonts w:cs="Bookman Old Style"/>
          <w:i w:val="0"/>
        </w:rPr>
      </w:pPr>
    </w:p>
    <w:p w:rsidR="00997F80" w:rsidRDefault="00997F80">
      <w:pPr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:rsidR="00997F80" w:rsidRPr="00D97C33" w:rsidRDefault="004F6597">
      <w:pPr>
        <w:pStyle w:val="Nagwek2"/>
        <w:numPr>
          <w:ilvl w:val="0"/>
          <w:numId w:val="4"/>
        </w:numPr>
        <w:tabs>
          <w:tab w:val="left" w:pos="577"/>
        </w:tabs>
        <w:spacing w:before="144"/>
        <w:ind w:left="576" w:right="552" w:hanging="360"/>
        <w:rPr>
          <w:b/>
        </w:rPr>
      </w:pPr>
      <w:r w:rsidRPr="00D97C33">
        <w:rPr>
          <w:b/>
        </w:rPr>
        <w:lastRenderedPageBreak/>
        <w:t>Fees for validating learning outcomes</w:t>
      </w:r>
    </w:p>
    <w:p w:rsidR="00997F80" w:rsidRDefault="00997F80">
      <w:pPr>
        <w:spacing w:before="9"/>
        <w:rPr>
          <w:rFonts w:ascii="Bookman Old Style" w:eastAsia="Bookman Old Style" w:hAnsi="Bookman Old Style" w:cs="Bookman Old Style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4"/>
        <w:gridCol w:w="6522"/>
        <w:gridCol w:w="2410"/>
      </w:tblGrid>
      <w:tr w:rsidR="00997F80">
        <w:trPr>
          <w:trHeight w:hRule="exact" w:val="4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before="1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1)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before="1"/>
              <w:ind w:left="1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Fee for validating learning outcomes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 w:rsidP="00D97C33">
            <w:pPr>
              <w:pStyle w:val="TableParagraph"/>
              <w:spacing w:before="1"/>
              <w:ind w:left="493" w:right="44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500 PLN for </w:t>
            </w:r>
            <w:r>
              <w:rPr>
                <w:rFonts w:ascii="Bookman Old Style" w:hAnsi="Bookman Old Style"/>
                <w:sz w:val="20"/>
              </w:rPr>
              <w:t>each course</w:t>
            </w:r>
          </w:p>
        </w:tc>
      </w:tr>
    </w:tbl>
    <w:p w:rsidR="00997F80" w:rsidRDefault="00997F80">
      <w:pPr>
        <w:spacing w:before="10"/>
        <w:rPr>
          <w:rFonts w:ascii="Bookman Old Style" w:eastAsia="Bookman Old Style" w:hAnsi="Bookman Old Style" w:cs="Bookman Old Style"/>
          <w:b/>
          <w:bCs/>
          <w:sz w:val="13"/>
          <w:szCs w:val="13"/>
        </w:rPr>
      </w:pPr>
    </w:p>
    <w:p w:rsidR="00997F80" w:rsidRPr="00D97C33" w:rsidRDefault="004F6597">
      <w:pPr>
        <w:pStyle w:val="Akapitzlist"/>
        <w:numPr>
          <w:ilvl w:val="0"/>
          <w:numId w:val="4"/>
        </w:numPr>
        <w:tabs>
          <w:tab w:val="left" w:pos="496"/>
        </w:tabs>
        <w:spacing w:before="71"/>
        <w:ind w:left="495" w:right="552" w:hanging="279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D97C33">
        <w:rPr>
          <w:rFonts w:ascii="Bookman Old Style" w:hAnsi="Bookman Old Style"/>
          <w:b/>
          <w:sz w:val="20"/>
        </w:rPr>
        <w:t>The University of Opole also collects the following fees:</w:t>
      </w:r>
    </w:p>
    <w:p w:rsidR="00997F80" w:rsidRDefault="00997F80">
      <w:pPr>
        <w:spacing w:before="2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4"/>
        <w:gridCol w:w="6522"/>
        <w:gridCol w:w="2410"/>
      </w:tblGrid>
      <w:tr w:rsidR="00997F80">
        <w:trPr>
          <w:trHeight w:hRule="exact" w:val="2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1)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For issuing a student ID card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96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22 PLN</w:t>
            </w:r>
          </w:p>
        </w:tc>
      </w:tr>
      <w:tr w:rsidR="00997F80">
        <w:trPr>
          <w:trHeight w:hRule="exact" w:val="9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2)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For re-issuing a student 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 w:rsidP="00D97C33">
            <w:pPr>
              <w:pStyle w:val="TableParagraph"/>
              <w:ind w:left="254" w:right="25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the fee is </w:t>
            </w:r>
            <w:r w:rsidR="00D97C33">
              <w:rPr>
                <w:rFonts w:ascii="Bookman Old Style" w:hAnsi="Bookman Old Style"/>
                <w:sz w:val="20"/>
              </w:rPr>
              <w:t xml:space="preserve">50 percent </w:t>
            </w:r>
            <w:r>
              <w:rPr>
                <w:rFonts w:ascii="Bookman Old Style" w:hAnsi="Bookman Old Style"/>
                <w:sz w:val="20"/>
              </w:rPr>
              <w:t>higher than the fee for issuing the</w:t>
            </w:r>
            <w:bookmarkStart w:id="0" w:name="_GoBack"/>
            <w:bookmarkEnd w:id="0"/>
            <w:r>
              <w:rPr>
                <w:rFonts w:ascii="Bookman Old Style" w:hAnsi="Bookman Old Style"/>
                <w:sz w:val="20"/>
              </w:rPr>
              <w:t xml:space="preserve"> original</w:t>
            </w:r>
          </w:p>
        </w:tc>
      </w:tr>
      <w:tr w:rsidR="00997F80">
        <w:trPr>
          <w:trHeight w:hRule="exact" w:val="9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3)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ind w:left="139" w:right="10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For issuing a duplicate other than the issued ones on the basis of Art. 77(2) of the Act</w:t>
            </w:r>
          </w:p>
          <w:p w:rsidR="00997F80" w:rsidRDefault="004F659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the diploma in a foreign language</w:t>
            </w:r>
          </w:p>
          <w:p w:rsidR="00997F80" w:rsidRDefault="004F659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and the diploma supplement in a foreign language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997F80">
            <w:pPr>
              <w:pStyle w:val="TableParagraph"/>
              <w:spacing w:before="12"/>
              <w:rPr>
                <w:rFonts w:ascii="Bookman Old Style" w:eastAsia="Bookman Old Style" w:hAnsi="Bookman Old Style" w:cs="Bookman Old Style"/>
                <w:b/>
                <w:bCs/>
                <w:sz w:val="29"/>
                <w:szCs w:val="29"/>
              </w:rPr>
            </w:pPr>
          </w:p>
          <w:p w:rsidR="00997F80" w:rsidRDefault="004F6597">
            <w:pPr>
              <w:pStyle w:val="TableParagraph"/>
              <w:ind w:left="96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20 PLN</w:t>
            </w:r>
          </w:p>
        </w:tc>
      </w:tr>
      <w:tr w:rsidR="00997F80">
        <w:trPr>
          <w:trHeight w:hRule="exact" w:val="7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4)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for issuing a duplicate</w:t>
            </w:r>
          </w:p>
          <w:p w:rsidR="00997F80" w:rsidRDefault="004F659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34" w:lineRule="exact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of the diploma</w:t>
            </w:r>
          </w:p>
          <w:p w:rsidR="00997F80" w:rsidRDefault="004F659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34" w:lineRule="exact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of the diploma supplement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997F80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997F80" w:rsidRDefault="004F6597">
            <w:pPr>
              <w:pStyle w:val="TableParagraph"/>
              <w:ind w:left="96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20 PLN</w:t>
            </w:r>
          </w:p>
        </w:tc>
      </w:tr>
      <w:tr w:rsidR="00997F80">
        <w:trPr>
          <w:trHeight w:hRule="exact" w:val="4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line="233" w:lineRule="exact"/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5)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ind w:left="139" w:right="10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for authentication of documents referred to in Article 78(1) of the Act, intended for the use in legal relations abroad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80" w:rsidRDefault="004F6597">
            <w:pPr>
              <w:pStyle w:val="TableParagraph"/>
              <w:spacing w:before="116"/>
              <w:ind w:left="96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26 PLN</w:t>
            </w:r>
          </w:p>
        </w:tc>
      </w:tr>
    </w:tbl>
    <w:p w:rsidR="004F6597" w:rsidRDefault="004F6597"/>
    <w:sectPr w:rsidR="004F6597">
      <w:pgSz w:w="11910" w:h="16840"/>
      <w:pgMar w:top="134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63DC"/>
    <w:multiLevelType w:val="hybridMultilevel"/>
    <w:tmpl w:val="56FEE7EE"/>
    <w:lvl w:ilvl="0" w:tplc="18C6D4EA">
      <w:start w:val="1"/>
      <w:numFmt w:val="lowerLetter"/>
      <w:lvlText w:val="%1)"/>
      <w:lvlJc w:val="left"/>
      <w:pPr>
        <w:ind w:left="576" w:hanging="360"/>
        <w:jc w:val="left"/>
      </w:pPr>
      <w:rPr>
        <w:rFonts w:ascii="Bookman Old Style" w:eastAsia="Bookman Old Style" w:hAnsi="Bookman Old Style" w:hint="default"/>
        <w:i/>
        <w:w w:val="99"/>
        <w:sz w:val="20"/>
        <w:szCs w:val="20"/>
      </w:rPr>
    </w:lvl>
    <w:lvl w:ilvl="1" w:tplc="A372BFCE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C6F40D20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D06EB07E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763C8018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7CC65A98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D500EA46">
      <w:start w:val="1"/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337438DE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FE6E60D2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1" w15:restartNumberingAfterBreak="0">
    <w:nsid w:val="363B2A82"/>
    <w:multiLevelType w:val="hybridMultilevel"/>
    <w:tmpl w:val="08E6C906"/>
    <w:lvl w:ilvl="0" w:tplc="A008C008">
      <w:start w:val="1"/>
      <w:numFmt w:val="bullet"/>
      <w:lvlText w:val="-"/>
      <w:lvlJc w:val="left"/>
      <w:pPr>
        <w:ind w:left="283" w:hanging="144"/>
      </w:pPr>
      <w:rPr>
        <w:rFonts w:ascii="Bookman Old Style" w:eastAsia="Bookman Old Style" w:hAnsi="Bookman Old Style" w:hint="default"/>
        <w:w w:val="99"/>
        <w:sz w:val="20"/>
        <w:szCs w:val="20"/>
      </w:rPr>
    </w:lvl>
    <w:lvl w:ilvl="1" w:tplc="8ECE0BD0">
      <w:start w:val="1"/>
      <w:numFmt w:val="bullet"/>
      <w:lvlText w:val="•"/>
      <w:lvlJc w:val="left"/>
      <w:pPr>
        <w:ind w:left="903" w:hanging="144"/>
      </w:pPr>
      <w:rPr>
        <w:rFonts w:hint="default"/>
      </w:rPr>
    </w:lvl>
    <w:lvl w:ilvl="2" w:tplc="AAA896C6">
      <w:start w:val="1"/>
      <w:numFmt w:val="bullet"/>
      <w:lvlText w:val="•"/>
      <w:lvlJc w:val="left"/>
      <w:pPr>
        <w:ind w:left="1526" w:hanging="144"/>
      </w:pPr>
      <w:rPr>
        <w:rFonts w:hint="default"/>
      </w:rPr>
    </w:lvl>
    <w:lvl w:ilvl="3" w:tplc="B89E01DC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4" w:tplc="C2304F7A">
      <w:start w:val="1"/>
      <w:numFmt w:val="bullet"/>
      <w:lvlText w:val="•"/>
      <w:lvlJc w:val="left"/>
      <w:pPr>
        <w:ind w:left="2773" w:hanging="144"/>
      </w:pPr>
      <w:rPr>
        <w:rFonts w:hint="default"/>
      </w:rPr>
    </w:lvl>
    <w:lvl w:ilvl="5" w:tplc="4F18C78E">
      <w:start w:val="1"/>
      <w:numFmt w:val="bullet"/>
      <w:lvlText w:val="•"/>
      <w:lvlJc w:val="left"/>
      <w:pPr>
        <w:ind w:left="3396" w:hanging="144"/>
      </w:pPr>
      <w:rPr>
        <w:rFonts w:hint="default"/>
      </w:rPr>
    </w:lvl>
    <w:lvl w:ilvl="6" w:tplc="090C5556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7" w:tplc="1B0CF88A">
      <w:start w:val="1"/>
      <w:numFmt w:val="bullet"/>
      <w:lvlText w:val="•"/>
      <w:lvlJc w:val="left"/>
      <w:pPr>
        <w:ind w:left="4642" w:hanging="144"/>
      </w:pPr>
      <w:rPr>
        <w:rFonts w:hint="default"/>
      </w:rPr>
    </w:lvl>
    <w:lvl w:ilvl="8" w:tplc="6336741C">
      <w:start w:val="1"/>
      <w:numFmt w:val="bullet"/>
      <w:lvlText w:val="•"/>
      <w:lvlJc w:val="left"/>
      <w:pPr>
        <w:ind w:left="5266" w:hanging="144"/>
      </w:pPr>
      <w:rPr>
        <w:rFonts w:hint="default"/>
      </w:rPr>
    </w:lvl>
  </w:abstractNum>
  <w:abstractNum w:abstractNumId="2" w15:restartNumberingAfterBreak="0">
    <w:nsid w:val="5C4926B3"/>
    <w:multiLevelType w:val="hybridMultilevel"/>
    <w:tmpl w:val="D60C3C86"/>
    <w:lvl w:ilvl="0" w:tplc="4B5A21BC">
      <w:start w:val="1"/>
      <w:numFmt w:val="bullet"/>
      <w:lvlText w:val="-"/>
      <w:lvlJc w:val="left"/>
      <w:pPr>
        <w:ind w:left="283" w:hanging="144"/>
      </w:pPr>
      <w:rPr>
        <w:rFonts w:ascii="Bookman Old Style" w:eastAsia="Bookman Old Style" w:hAnsi="Bookman Old Style" w:hint="default"/>
        <w:w w:val="99"/>
        <w:sz w:val="20"/>
        <w:szCs w:val="20"/>
      </w:rPr>
    </w:lvl>
    <w:lvl w:ilvl="1" w:tplc="9DB0CF50">
      <w:start w:val="1"/>
      <w:numFmt w:val="bullet"/>
      <w:lvlText w:val="•"/>
      <w:lvlJc w:val="left"/>
      <w:pPr>
        <w:ind w:left="903" w:hanging="144"/>
      </w:pPr>
      <w:rPr>
        <w:rFonts w:hint="default"/>
      </w:rPr>
    </w:lvl>
    <w:lvl w:ilvl="2" w:tplc="D2CEB4C4">
      <w:start w:val="1"/>
      <w:numFmt w:val="bullet"/>
      <w:lvlText w:val="•"/>
      <w:lvlJc w:val="left"/>
      <w:pPr>
        <w:ind w:left="1526" w:hanging="144"/>
      </w:pPr>
      <w:rPr>
        <w:rFonts w:hint="default"/>
      </w:rPr>
    </w:lvl>
    <w:lvl w:ilvl="3" w:tplc="4558B00C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4" w:tplc="3CC6DE88">
      <w:start w:val="1"/>
      <w:numFmt w:val="bullet"/>
      <w:lvlText w:val="•"/>
      <w:lvlJc w:val="left"/>
      <w:pPr>
        <w:ind w:left="2773" w:hanging="144"/>
      </w:pPr>
      <w:rPr>
        <w:rFonts w:hint="default"/>
      </w:rPr>
    </w:lvl>
    <w:lvl w:ilvl="5" w:tplc="A566DD3A">
      <w:start w:val="1"/>
      <w:numFmt w:val="bullet"/>
      <w:lvlText w:val="•"/>
      <w:lvlJc w:val="left"/>
      <w:pPr>
        <w:ind w:left="3396" w:hanging="144"/>
      </w:pPr>
      <w:rPr>
        <w:rFonts w:hint="default"/>
      </w:rPr>
    </w:lvl>
    <w:lvl w:ilvl="6" w:tplc="8662D1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7" w:tplc="996C42D2">
      <w:start w:val="1"/>
      <w:numFmt w:val="bullet"/>
      <w:lvlText w:val="•"/>
      <w:lvlJc w:val="left"/>
      <w:pPr>
        <w:ind w:left="4642" w:hanging="144"/>
      </w:pPr>
      <w:rPr>
        <w:rFonts w:hint="default"/>
      </w:rPr>
    </w:lvl>
    <w:lvl w:ilvl="8" w:tplc="C31EFD4E">
      <w:start w:val="1"/>
      <w:numFmt w:val="bullet"/>
      <w:lvlText w:val="•"/>
      <w:lvlJc w:val="left"/>
      <w:pPr>
        <w:ind w:left="5266" w:hanging="144"/>
      </w:pPr>
      <w:rPr>
        <w:rFonts w:hint="default"/>
      </w:rPr>
    </w:lvl>
  </w:abstractNum>
  <w:abstractNum w:abstractNumId="3" w15:restartNumberingAfterBreak="0">
    <w:nsid w:val="67782988"/>
    <w:multiLevelType w:val="hybridMultilevel"/>
    <w:tmpl w:val="0792DFE8"/>
    <w:lvl w:ilvl="0" w:tplc="57A48A26">
      <w:start w:val="1"/>
      <w:numFmt w:val="upperRoman"/>
      <w:lvlText w:val="%1."/>
      <w:lvlJc w:val="left"/>
      <w:pPr>
        <w:ind w:left="643" w:hanging="298"/>
        <w:jc w:val="left"/>
      </w:pPr>
      <w:rPr>
        <w:rFonts w:ascii="Bookman Old Style" w:eastAsia="Bookman Old Style" w:hAnsi="Bookman Old Style" w:hint="default"/>
        <w:w w:val="99"/>
        <w:sz w:val="20"/>
        <w:szCs w:val="20"/>
      </w:rPr>
    </w:lvl>
    <w:lvl w:ilvl="1" w:tplc="5E02FD02">
      <w:start w:val="1"/>
      <w:numFmt w:val="bullet"/>
      <w:lvlText w:val="•"/>
      <w:lvlJc w:val="left"/>
      <w:pPr>
        <w:ind w:left="1560" w:hanging="298"/>
      </w:pPr>
      <w:rPr>
        <w:rFonts w:hint="default"/>
      </w:rPr>
    </w:lvl>
    <w:lvl w:ilvl="2" w:tplc="CC1245B6">
      <w:start w:val="1"/>
      <w:numFmt w:val="bullet"/>
      <w:lvlText w:val="•"/>
      <w:lvlJc w:val="left"/>
      <w:pPr>
        <w:ind w:left="2481" w:hanging="298"/>
      </w:pPr>
      <w:rPr>
        <w:rFonts w:hint="default"/>
      </w:rPr>
    </w:lvl>
    <w:lvl w:ilvl="3" w:tplc="EC3662C6">
      <w:start w:val="1"/>
      <w:numFmt w:val="bullet"/>
      <w:lvlText w:val="•"/>
      <w:lvlJc w:val="left"/>
      <w:pPr>
        <w:ind w:left="3401" w:hanging="298"/>
      </w:pPr>
      <w:rPr>
        <w:rFonts w:hint="default"/>
      </w:rPr>
    </w:lvl>
    <w:lvl w:ilvl="4" w:tplc="E42A9A66">
      <w:start w:val="1"/>
      <w:numFmt w:val="bullet"/>
      <w:lvlText w:val="•"/>
      <w:lvlJc w:val="left"/>
      <w:pPr>
        <w:ind w:left="4322" w:hanging="298"/>
      </w:pPr>
      <w:rPr>
        <w:rFonts w:hint="default"/>
      </w:rPr>
    </w:lvl>
    <w:lvl w:ilvl="5" w:tplc="BF42F89A">
      <w:start w:val="1"/>
      <w:numFmt w:val="bullet"/>
      <w:lvlText w:val="•"/>
      <w:lvlJc w:val="left"/>
      <w:pPr>
        <w:ind w:left="5243" w:hanging="298"/>
      </w:pPr>
      <w:rPr>
        <w:rFonts w:hint="default"/>
      </w:rPr>
    </w:lvl>
    <w:lvl w:ilvl="6" w:tplc="D9A2B86C">
      <w:start w:val="1"/>
      <w:numFmt w:val="bullet"/>
      <w:lvlText w:val="•"/>
      <w:lvlJc w:val="left"/>
      <w:pPr>
        <w:ind w:left="6163" w:hanging="298"/>
      </w:pPr>
      <w:rPr>
        <w:rFonts w:hint="default"/>
      </w:rPr>
    </w:lvl>
    <w:lvl w:ilvl="7" w:tplc="76B20734">
      <w:start w:val="1"/>
      <w:numFmt w:val="bullet"/>
      <w:lvlText w:val="•"/>
      <w:lvlJc w:val="left"/>
      <w:pPr>
        <w:ind w:left="7084" w:hanging="298"/>
      </w:pPr>
      <w:rPr>
        <w:rFonts w:hint="default"/>
      </w:rPr>
    </w:lvl>
    <w:lvl w:ilvl="8" w:tplc="DA4AD768">
      <w:start w:val="1"/>
      <w:numFmt w:val="bullet"/>
      <w:lvlText w:val="•"/>
      <w:lvlJc w:val="left"/>
      <w:pPr>
        <w:ind w:left="8005" w:hanging="29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7F80"/>
    <w:rsid w:val="004F6597"/>
    <w:rsid w:val="005041A2"/>
    <w:rsid w:val="00997F80"/>
    <w:rsid w:val="00D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C332"/>
  <w15:docId w15:val="{EC7F8CB1-5D2C-4D93-9BDD-556DA05F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9"/>
      <w:outlineLvl w:val="0"/>
    </w:pPr>
    <w:rPr>
      <w:rFonts w:ascii="Bookman Old Style" w:eastAsia="Bookman Old Style" w:hAnsi="Bookman Old Style"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71"/>
      <w:ind w:left="495" w:hanging="427"/>
      <w:outlineLvl w:val="1"/>
    </w:pPr>
    <w:rPr>
      <w:rFonts w:ascii="Bookman Old Style" w:eastAsia="Bookman Old Style" w:hAnsi="Bookman Old Style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 w:hanging="360"/>
    </w:pPr>
    <w:rPr>
      <w:rFonts w:ascii="Bookman Old Style" w:eastAsia="Bookman Old Style" w:hAnsi="Bookman Old Style"/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Mitrus</dc:creator>
  <cp:lastModifiedBy>ei si</cp:lastModifiedBy>
  <cp:revision>2</cp:revision>
  <dcterms:created xsi:type="dcterms:W3CDTF">2022-05-11T12:50:00Z</dcterms:created>
  <dcterms:modified xsi:type="dcterms:W3CDTF">2022-07-03T13:56:00Z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2022-05-11T00:00:00Z</vt:filetime>
  </property>
</Properties>
</file>