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1404"/>
        <w:gridCol w:w="4550"/>
      </w:tblGrid>
      <w:tr w:rsidR="00320C31" w:rsidRPr="00777CD0" w14:paraId="3F0807A6" w14:textId="77777777" w:rsidTr="00777CD0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799B49" w14:textId="77777777" w:rsidR="00320C31" w:rsidRPr="00777CD0" w:rsidRDefault="00367F68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="00D57583" w:rsidRPr="00777CD0">
              <w:rPr>
                <w:b/>
                <w:sz w:val="20"/>
                <w:szCs w:val="20"/>
              </w:rPr>
              <w:t>Nazwa przedmiotu</w:t>
            </w:r>
          </w:p>
          <w:p w14:paraId="2F46F4DF" w14:textId="0C6F64CE" w:rsidR="00D57583" w:rsidRPr="00777CD0" w:rsidRDefault="001A5B42" w:rsidP="00777CD0">
            <w:pPr>
              <w:ind w:left="356"/>
              <w:rPr>
                <w:sz w:val="22"/>
                <w:szCs w:val="20"/>
              </w:rPr>
            </w:pPr>
            <w:r w:rsidRPr="001A5B42">
              <w:rPr>
                <w:sz w:val="22"/>
                <w:szCs w:val="20"/>
              </w:rPr>
              <w:t>Wybrane zagadnienia z wiedzy społecznej i politycznej</w:t>
            </w:r>
          </w:p>
        </w:tc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2CCF13" w14:textId="77777777" w:rsidR="00320C31" w:rsidRPr="00777CD0" w:rsidRDefault="00FB781D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Kod ECTS</w:t>
            </w:r>
          </w:p>
          <w:p w14:paraId="6210F15A" w14:textId="6D23FBAD" w:rsidR="00FB781D" w:rsidRPr="001A5B42" w:rsidRDefault="001A5B42" w:rsidP="00777CD0">
            <w:pPr>
              <w:ind w:left="227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MK-7</w:t>
            </w:r>
          </w:p>
        </w:tc>
      </w:tr>
      <w:tr w:rsidR="00E75C83" w:rsidRPr="00777CD0" w14:paraId="66B1B702" w14:textId="77777777" w:rsidTr="006B059F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1A521C" w14:textId="77777777" w:rsidR="00E75C83" w:rsidRPr="00777CD0" w:rsidRDefault="00E75C83" w:rsidP="00777C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36CCB7BE" w14:textId="77777777" w:rsidR="00E75C83" w:rsidRPr="00052198" w:rsidRDefault="00052198" w:rsidP="00F02010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Wydział Nauk Społecznych</w:t>
            </w:r>
            <w:r w:rsidR="00BF0D13">
              <w:rPr>
                <w:iCs/>
                <w:sz w:val="22"/>
                <w:szCs w:val="22"/>
              </w:rPr>
              <w:t xml:space="preserve"> UO</w:t>
            </w:r>
            <w:r>
              <w:rPr>
                <w:iCs/>
                <w:sz w:val="22"/>
                <w:szCs w:val="22"/>
              </w:rPr>
              <w:t xml:space="preserve">, </w:t>
            </w:r>
            <w:r w:rsidR="00CF0EC5">
              <w:rPr>
                <w:iCs/>
                <w:sz w:val="22"/>
                <w:szCs w:val="22"/>
              </w:rPr>
              <w:t>Instytut Historii</w:t>
            </w:r>
            <w:r w:rsidR="00BF0D13">
              <w:rPr>
                <w:iCs/>
                <w:sz w:val="22"/>
                <w:szCs w:val="22"/>
              </w:rPr>
              <w:t xml:space="preserve"> UO</w:t>
            </w:r>
          </w:p>
        </w:tc>
      </w:tr>
      <w:tr w:rsidR="00320C31" w:rsidRPr="00777CD0" w14:paraId="5BB65B12" w14:textId="77777777" w:rsidTr="00E36E08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6B067" w14:textId="77777777" w:rsidR="00320C31" w:rsidRPr="00777CD0" w:rsidRDefault="00320C31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Nazwisko osoby </w:t>
            </w:r>
            <w:r w:rsidR="00086081" w:rsidRPr="00777CD0">
              <w:rPr>
                <w:b/>
                <w:sz w:val="20"/>
                <w:szCs w:val="20"/>
              </w:rPr>
              <w:t>prowadzącej (osób prowadzących)</w:t>
            </w:r>
          </w:p>
          <w:p w14:paraId="436A2FBE" w14:textId="77777777" w:rsidR="00905101" w:rsidRPr="00777CD0" w:rsidRDefault="00052198" w:rsidP="00777CD0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Sawicki Mariusz</w:t>
            </w:r>
          </w:p>
        </w:tc>
      </w:tr>
      <w:tr w:rsidR="0018092A" w:rsidRPr="00777CD0" w14:paraId="45FD55F7" w14:textId="77777777" w:rsidTr="00777CD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DD0B394" w14:textId="77777777" w:rsidR="0018092A" w:rsidRPr="00777CD0" w:rsidRDefault="0018092A" w:rsidP="00777C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Formy zajęć, sposób ich realizacji i przypisana im liczba g</w:t>
            </w:r>
            <w:r w:rsidRPr="00777CD0">
              <w:rPr>
                <w:b/>
                <w:sz w:val="20"/>
                <w:szCs w:val="20"/>
              </w:rPr>
              <w:t>o</w:t>
            </w:r>
            <w:r w:rsidRPr="00777CD0">
              <w:rPr>
                <w:b/>
                <w:sz w:val="20"/>
                <w:szCs w:val="20"/>
              </w:rPr>
              <w:t>dzin</w:t>
            </w:r>
            <w:r w:rsidRPr="00777C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862023" w14:textId="187B1CA7" w:rsidR="00EA49D8" w:rsidRPr="00777CD0" w:rsidRDefault="0018092A" w:rsidP="00777CD0">
            <w:pPr>
              <w:rPr>
                <w:b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777CD0">
              <w:rPr>
                <w:b/>
              </w:rPr>
              <w:t>Liczba punktów ECTS</w:t>
            </w:r>
            <w:r w:rsidR="00EA49D8" w:rsidRPr="00777CD0">
              <w:rPr>
                <w:b/>
              </w:rPr>
              <w:t xml:space="preserve">: </w:t>
            </w:r>
            <w:r w:rsidR="001A5B42">
              <w:rPr>
                <w:b/>
              </w:rPr>
              <w:t>3</w:t>
            </w:r>
          </w:p>
          <w:p w14:paraId="168BC3CC" w14:textId="77777777" w:rsidR="00D52B22" w:rsidRPr="00777CD0" w:rsidRDefault="00D52B22" w:rsidP="00777CD0">
            <w:pPr>
              <w:pBdr>
                <w:left w:val="single" w:sz="12" w:space="4" w:color="auto"/>
              </w:pBdr>
              <w:rPr>
                <w:sz w:val="20"/>
                <w:szCs w:val="20"/>
              </w:rPr>
            </w:pPr>
          </w:p>
          <w:p w14:paraId="0AE31DDD" w14:textId="77777777" w:rsidR="0018092A" w:rsidRPr="00777CD0" w:rsidRDefault="0018092A" w:rsidP="00777CD0">
            <w:pPr>
              <w:pBdr>
                <w:left w:val="single" w:sz="12" w:space="4" w:color="auto"/>
              </w:pBdr>
              <w:jc w:val="both"/>
              <w:rPr>
                <w:sz w:val="20"/>
                <w:szCs w:val="20"/>
              </w:rPr>
            </w:pPr>
          </w:p>
        </w:tc>
      </w:tr>
      <w:tr w:rsidR="0018092A" w:rsidRPr="00777CD0" w14:paraId="51897585" w14:textId="77777777" w:rsidTr="00777CD0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2D7C4CA" w14:textId="77777777" w:rsidR="0018092A" w:rsidRPr="00777CD0" w:rsidRDefault="0018092A" w:rsidP="00777CD0">
            <w:pPr>
              <w:ind w:firstLine="214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A.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Formy zajęć</w:t>
            </w:r>
          </w:p>
          <w:p w14:paraId="4AA54DFA" w14:textId="1019C6F4" w:rsidR="00777CD0" w:rsidRPr="00784ED7" w:rsidRDefault="001A5B42" w:rsidP="00784ED7">
            <w:pPr>
              <w:ind w:left="35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Wykład</w:t>
            </w:r>
          </w:p>
          <w:p w14:paraId="42AD4C6F" w14:textId="77777777" w:rsidR="0018092A" w:rsidRPr="00777CD0" w:rsidRDefault="0018092A" w:rsidP="00777CD0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5A0549" w14:textId="77777777" w:rsidR="0018092A" w:rsidRPr="00777CD0" w:rsidRDefault="0018092A" w:rsidP="00777CD0">
            <w:pPr>
              <w:rPr>
                <w:b/>
                <w:sz w:val="20"/>
                <w:szCs w:val="20"/>
              </w:rPr>
            </w:pPr>
          </w:p>
        </w:tc>
      </w:tr>
      <w:tr w:rsidR="0018092A" w:rsidRPr="00777CD0" w14:paraId="0AA65D6D" w14:textId="77777777" w:rsidTr="00777CD0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16E4B68" w14:textId="77777777" w:rsidR="00453812" w:rsidRPr="00777CD0" w:rsidRDefault="0018092A" w:rsidP="00777CD0">
            <w:pPr>
              <w:ind w:firstLine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Sposób realizacji</w:t>
            </w:r>
          </w:p>
          <w:p w14:paraId="1F4F9153" w14:textId="77777777" w:rsidR="0018092A" w:rsidRPr="00784ED7" w:rsidRDefault="00784ED7" w:rsidP="00784ED7">
            <w:pPr>
              <w:ind w:left="35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Z</w:t>
            </w:r>
            <w:r w:rsidR="0018092A" w:rsidRPr="00784ED7">
              <w:rPr>
                <w:iCs/>
                <w:sz w:val="20"/>
                <w:szCs w:val="20"/>
              </w:rPr>
              <w:t>ajęcia w sali dydaktycznej</w:t>
            </w:r>
          </w:p>
          <w:p w14:paraId="4A86EE00" w14:textId="77777777" w:rsidR="0018092A" w:rsidRPr="00777CD0" w:rsidRDefault="0018092A" w:rsidP="00F02010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654F77" w14:textId="77777777" w:rsidR="0018092A" w:rsidRPr="00777CD0" w:rsidRDefault="0018092A" w:rsidP="00777CD0">
            <w:pPr>
              <w:rPr>
                <w:b/>
                <w:sz w:val="20"/>
                <w:szCs w:val="20"/>
              </w:rPr>
            </w:pPr>
          </w:p>
        </w:tc>
      </w:tr>
      <w:tr w:rsidR="0018092A" w:rsidRPr="00777CD0" w14:paraId="6865C961" w14:textId="77777777" w:rsidTr="00777CD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5AE63B" w14:textId="25D13DB1" w:rsidR="0018092A" w:rsidRPr="00777CD0" w:rsidRDefault="0018092A" w:rsidP="00633F9A">
            <w:pPr>
              <w:ind w:left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Liczba godzin</w:t>
            </w:r>
            <w:r w:rsidR="00777CD0">
              <w:rPr>
                <w:b/>
                <w:sz w:val="20"/>
                <w:szCs w:val="20"/>
              </w:rPr>
              <w:t>:</w:t>
            </w:r>
            <w:r w:rsidRPr="00777CD0">
              <w:rPr>
                <w:sz w:val="20"/>
                <w:szCs w:val="20"/>
              </w:rPr>
              <w:t xml:space="preserve"> </w:t>
            </w:r>
            <w:r w:rsidR="00EA49D8" w:rsidRPr="00777CD0">
              <w:rPr>
                <w:sz w:val="20"/>
                <w:szCs w:val="20"/>
              </w:rPr>
              <w:t xml:space="preserve"> </w:t>
            </w:r>
            <w:r w:rsidR="001A5B42">
              <w:rPr>
                <w:sz w:val="20"/>
                <w:szCs w:val="20"/>
              </w:rPr>
              <w:t>30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3F31C9" w14:textId="77777777" w:rsidR="0018092A" w:rsidRPr="00777CD0" w:rsidRDefault="0018092A" w:rsidP="00777CD0">
            <w:pPr>
              <w:rPr>
                <w:b/>
                <w:sz w:val="20"/>
                <w:szCs w:val="20"/>
              </w:rPr>
            </w:pPr>
          </w:p>
        </w:tc>
      </w:tr>
      <w:tr w:rsidR="00320C31" w:rsidRPr="00777CD0" w14:paraId="632FFA47" w14:textId="77777777" w:rsidTr="00777CD0">
        <w:tblPrEx>
          <w:tblCellMar>
            <w:top w:w="0" w:type="dxa"/>
            <w:bottom w:w="0" w:type="dxa"/>
          </w:tblCellMar>
        </w:tblPrEx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EB7484" w14:textId="77777777" w:rsidR="00320C31" w:rsidRPr="00052198" w:rsidRDefault="00C5039A" w:rsidP="00777CD0">
            <w:pPr>
              <w:rPr>
                <w:b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="00320C31" w:rsidRPr="00777CD0">
              <w:rPr>
                <w:b/>
                <w:sz w:val="20"/>
                <w:szCs w:val="20"/>
              </w:rPr>
              <w:t>Status przedmiotu</w:t>
            </w:r>
          </w:p>
          <w:p w14:paraId="1AE1C379" w14:textId="77777777" w:rsidR="00D660D0" w:rsidRPr="00777CD0" w:rsidRDefault="00F02010" w:rsidP="00633F9A">
            <w:pPr>
              <w:ind w:left="356"/>
              <w:rPr>
                <w:sz w:val="18"/>
                <w:szCs w:val="18"/>
              </w:rPr>
            </w:pPr>
            <w:r w:rsidRPr="00052198">
              <w:rPr>
                <w:sz w:val="22"/>
                <w:szCs w:val="22"/>
              </w:rPr>
              <w:t>Przedmiot podstawowy</w:t>
            </w:r>
          </w:p>
        </w:tc>
        <w:tc>
          <w:tcPr>
            <w:tcW w:w="59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14B26D" w14:textId="77777777" w:rsidR="00320C31" w:rsidRPr="00777CD0" w:rsidRDefault="00C5039A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="00320C31" w:rsidRPr="00777CD0">
              <w:rPr>
                <w:b/>
                <w:sz w:val="20"/>
                <w:szCs w:val="20"/>
              </w:rPr>
              <w:t>Język wykładowy</w:t>
            </w:r>
          </w:p>
          <w:p w14:paraId="4F0DE5A6" w14:textId="77777777" w:rsidR="00C5039A" w:rsidRPr="00777CD0" w:rsidRDefault="00F02010" w:rsidP="00777CD0">
            <w:pPr>
              <w:ind w:left="356"/>
              <w:rPr>
                <w:sz w:val="20"/>
                <w:szCs w:val="20"/>
              </w:rPr>
            </w:pPr>
            <w:r w:rsidRPr="00052198">
              <w:rPr>
                <w:sz w:val="22"/>
                <w:szCs w:val="22"/>
              </w:rPr>
              <w:t>polski</w:t>
            </w:r>
          </w:p>
        </w:tc>
      </w:tr>
      <w:tr w:rsidR="007C71BF" w:rsidRPr="00777CD0" w14:paraId="3A3E9D5C" w14:textId="77777777" w:rsidTr="00777CD0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A161FD" w14:textId="77777777" w:rsidR="007C71BF" w:rsidRPr="00777CD0" w:rsidRDefault="007C71BF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Metody dydaktyczne</w:t>
            </w:r>
          </w:p>
          <w:p w14:paraId="44390BD7" w14:textId="2D3E75F1" w:rsidR="007C71BF" w:rsidRPr="00F02010" w:rsidRDefault="001A5B42" w:rsidP="00F02010">
            <w:pPr>
              <w:ind w:left="35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Wykład, wykład z prezentacją, wykład problemowy, wykład konwersatoryjny</w:t>
            </w:r>
          </w:p>
          <w:p w14:paraId="5B880448" w14:textId="77777777" w:rsidR="007C71BF" w:rsidRPr="00777CD0" w:rsidRDefault="007C71BF" w:rsidP="00F02010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C191B72" w14:textId="77777777" w:rsidR="007C71BF" w:rsidRPr="00777CD0" w:rsidRDefault="007C71BF" w:rsidP="00777CD0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Forma i sposób zaliczenia oraz podstawowe kryteria oceny lub w</w:t>
            </w:r>
            <w:r w:rsidRPr="00777CD0">
              <w:rPr>
                <w:b/>
                <w:sz w:val="20"/>
                <w:szCs w:val="20"/>
              </w:rPr>
              <w:t>y</w:t>
            </w:r>
            <w:r w:rsidRPr="00777CD0">
              <w:rPr>
                <w:b/>
                <w:sz w:val="20"/>
                <w:szCs w:val="20"/>
              </w:rPr>
              <w:t>magania egzamin</w:t>
            </w:r>
            <w:r w:rsidRPr="00777CD0">
              <w:rPr>
                <w:b/>
                <w:sz w:val="20"/>
                <w:szCs w:val="20"/>
              </w:rPr>
              <w:t>a</w:t>
            </w:r>
            <w:r w:rsidRPr="00777CD0">
              <w:rPr>
                <w:b/>
                <w:sz w:val="20"/>
                <w:szCs w:val="20"/>
              </w:rPr>
              <w:t>cyjne</w:t>
            </w:r>
          </w:p>
        </w:tc>
      </w:tr>
      <w:tr w:rsidR="007C71BF" w:rsidRPr="00777CD0" w14:paraId="0EE875C8" w14:textId="77777777" w:rsidTr="00777CD0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27AE10" w14:textId="77777777" w:rsidR="007C71BF" w:rsidRPr="00777CD0" w:rsidRDefault="007C71BF" w:rsidP="00777C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04D54E9" w14:textId="77777777" w:rsidR="00C064BE" w:rsidRPr="00777CD0" w:rsidRDefault="007C71BF" w:rsidP="00777CD0">
            <w:pPr>
              <w:ind w:left="432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Sposób zaliczenia </w:t>
            </w:r>
          </w:p>
          <w:p w14:paraId="31BF31DB" w14:textId="77777777" w:rsidR="007C71BF" w:rsidRPr="00F02010" w:rsidRDefault="00F02010" w:rsidP="00F02010">
            <w:pPr>
              <w:ind w:left="356"/>
              <w:rPr>
                <w:iCs/>
              </w:rPr>
            </w:pPr>
            <w:r>
              <w:rPr>
                <w:iCs/>
              </w:rPr>
              <w:t>Zaliczenie z oceną</w:t>
            </w:r>
          </w:p>
        </w:tc>
      </w:tr>
      <w:tr w:rsidR="007C71BF" w:rsidRPr="00777CD0" w14:paraId="358E5910" w14:textId="77777777" w:rsidTr="00633F9A">
        <w:tblPrEx>
          <w:tblCellMar>
            <w:top w:w="0" w:type="dxa"/>
            <w:bottom w:w="0" w:type="dxa"/>
          </w:tblCellMar>
        </w:tblPrEx>
        <w:trPr>
          <w:trHeight w:val="1970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FB25A5" w14:textId="77777777" w:rsidR="007C71BF" w:rsidRPr="00777CD0" w:rsidRDefault="007C71BF" w:rsidP="00777C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BDFCFF4" w14:textId="77777777" w:rsidR="007C71BF" w:rsidRPr="00777CD0" w:rsidRDefault="007C71BF" w:rsidP="00777CD0">
            <w:pPr>
              <w:rPr>
                <w:b/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 Formy zaliczenia</w:t>
            </w:r>
          </w:p>
          <w:p w14:paraId="0439B982" w14:textId="77777777" w:rsidR="007C71BF" w:rsidRPr="00F02010" w:rsidRDefault="00F02010" w:rsidP="00F02010">
            <w:pPr>
              <w:ind w:left="356"/>
              <w:rPr>
                <w:iCs/>
                <w:sz w:val="20"/>
                <w:szCs w:val="20"/>
              </w:rPr>
            </w:pPr>
            <w:r w:rsidRPr="00F02010">
              <w:rPr>
                <w:iCs/>
                <w:sz w:val="20"/>
                <w:szCs w:val="20"/>
              </w:rPr>
              <w:t>U</w:t>
            </w:r>
            <w:r w:rsidR="007C71BF" w:rsidRPr="00F02010">
              <w:rPr>
                <w:iCs/>
                <w:sz w:val="20"/>
                <w:szCs w:val="20"/>
              </w:rPr>
              <w:t>stalenie oceny zaliczeniowej na podstawie ocen cząstkowych otrzymywanych w trakcie trwania sem</w:t>
            </w:r>
            <w:r w:rsidR="007C71BF" w:rsidRPr="00F02010">
              <w:rPr>
                <w:iCs/>
                <w:sz w:val="20"/>
                <w:szCs w:val="20"/>
              </w:rPr>
              <w:t>e</w:t>
            </w:r>
            <w:r w:rsidR="007C71BF" w:rsidRPr="00F02010">
              <w:rPr>
                <w:iCs/>
                <w:sz w:val="20"/>
                <w:szCs w:val="20"/>
              </w:rPr>
              <w:t>stru</w:t>
            </w:r>
          </w:p>
        </w:tc>
      </w:tr>
      <w:tr w:rsidR="007C71BF" w:rsidRPr="00777CD0" w14:paraId="26F9AA41" w14:textId="77777777" w:rsidTr="00777CD0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FB946E" w14:textId="77777777" w:rsidR="007C71BF" w:rsidRPr="00777CD0" w:rsidRDefault="007C71BF" w:rsidP="00777C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79FCBA" w14:textId="77777777" w:rsidR="00784ED7" w:rsidRDefault="007C71BF" w:rsidP="00F02010">
            <w:pPr>
              <w:ind w:left="356" w:hanging="356"/>
              <w:jc w:val="both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C. Podstawowe kryteria </w:t>
            </w:r>
          </w:p>
          <w:p w14:paraId="68E15152" w14:textId="77777777" w:rsidR="007C71BF" w:rsidRPr="00777CD0" w:rsidRDefault="00784ED7" w:rsidP="00784ED7">
            <w:pPr>
              <w:ind w:left="68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F02010" w:rsidRPr="00B35764">
              <w:rPr>
                <w:sz w:val="20"/>
                <w:szCs w:val="20"/>
              </w:rPr>
              <w:t>ktywność na zajęciach, obecność, zaliczenie w formie</w:t>
            </w:r>
            <w:r w:rsidR="00A63592">
              <w:rPr>
                <w:sz w:val="20"/>
                <w:szCs w:val="20"/>
              </w:rPr>
              <w:t xml:space="preserve"> odpowiedzi</w:t>
            </w:r>
            <w:r w:rsidR="00F02010" w:rsidRPr="00B35764">
              <w:rPr>
                <w:sz w:val="20"/>
                <w:szCs w:val="20"/>
              </w:rPr>
              <w:t xml:space="preserve"> ustnej, przy</w:t>
            </w:r>
            <w:r>
              <w:rPr>
                <w:sz w:val="20"/>
                <w:szCs w:val="20"/>
              </w:rPr>
              <w:t>go</w:t>
            </w:r>
            <w:r w:rsidR="00F02010" w:rsidRPr="00B35764">
              <w:rPr>
                <w:sz w:val="20"/>
                <w:szCs w:val="20"/>
              </w:rPr>
              <w:t>towanie prezentacji lub referatu</w:t>
            </w:r>
            <w:r w:rsidR="0037239B">
              <w:rPr>
                <w:sz w:val="20"/>
                <w:szCs w:val="20"/>
              </w:rPr>
              <w:t>, lub eseju.</w:t>
            </w:r>
          </w:p>
        </w:tc>
      </w:tr>
      <w:tr w:rsidR="00320C31" w:rsidRPr="00777CD0" w14:paraId="3AB0FC17" w14:textId="77777777" w:rsidTr="00E36E08">
        <w:tblPrEx>
          <w:tblCellMar>
            <w:top w:w="0" w:type="dxa"/>
            <w:bottom w:w="0" w:type="dxa"/>
          </w:tblCellMar>
        </w:tblPrEx>
        <w:trPr>
          <w:trHeight w:val="127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30555EE" w14:textId="77777777" w:rsidR="00320C31" w:rsidRPr="00777CD0" w:rsidRDefault="006B5055" w:rsidP="00777C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Cele przedmiotu</w:t>
            </w:r>
          </w:p>
          <w:p w14:paraId="0EBE6EE5" w14:textId="4E78F3D0" w:rsidR="007B646B" w:rsidRPr="00F02010" w:rsidRDefault="00F02010" w:rsidP="00F02010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Przedmiot ma na celu przedstawienie </w:t>
            </w:r>
            <w:r w:rsidR="006945C4">
              <w:rPr>
                <w:sz w:val="20"/>
                <w:szCs w:val="20"/>
              </w:rPr>
              <w:t xml:space="preserve">w sposób syntetyczny </w:t>
            </w:r>
            <w:r w:rsidR="002826E8">
              <w:rPr>
                <w:sz w:val="20"/>
                <w:szCs w:val="20"/>
              </w:rPr>
              <w:t xml:space="preserve">najważniejszych zagadnień w dziejach </w:t>
            </w:r>
            <w:r>
              <w:rPr>
                <w:sz w:val="20"/>
                <w:szCs w:val="20"/>
              </w:rPr>
              <w:t>Europy</w:t>
            </w:r>
            <w:r w:rsidR="006945C4">
              <w:rPr>
                <w:sz w:val="20"/>
                <w:szCs w:val="20"/>
              </w:rPr>
              <w:t xml:space="preserve"> i Polski</w:t>
            </w:r>
            <w:r>
              <w:rPr>
                <w:sz w:val="20"/>
                <w:szCs w:val="20"/>
              </w:rPr>
              <w:t xml:space="preserve">. Istotnym elementem </w:t>
            </w:r>
            <w:r w:rsidR="002826E8">
              <w:rPr>
                <w:sz w:val="20"/>
                <w:szCs w:val="20"/>
              </w:rPr>
              <w:t xml:space="preserve">są tutaj rozważania dotyczące systemów władzy w różnych państwach na Starym Kontynencie – począwszy od tych skupionych wokół osoby monarchy, a skończywszy na skomplikowanych systemach </w:t>
            </w:r>
            <w:proofErr w:type="spellStart"/>
            <w:r w:rsidR="002826E8">
              <w:rPr>
                <w:sz w:val="20"/>
                <w:szCs w:val="20"/>
              </w:rPr>
              <w:t>klientalnych</w:t>
            </w:r>
            <w:proofErr w:type="spellEnd"/>
            <w:r w:rsidR="002826E8">
              <w:rPr>
                <w:sz w:val="20"/>
                <w:szCs w:val="20"/>
              </w:rPr>
              <w:t xml:space="preserve"> w poszczególnych państwach. Nieodzowny w rozważaniach dotyczących zagadnień politycznych będzie również rozwój nowoczesnej dyplomacji, a problematykę te można najlepiej przeanalizować na przykładzie działań polityków francuskich skupionych wokół Ludwika XIV oraz angielskich realizujących politykę równowagi sił europejskich. Ważnym elem</w:t>
            </w:r>
            <w:r w:rsidR="00EC4CFB">
              <w:rPr>
                <w:sz w:val="20"/>
                <w:szCs w:val="20"/>
              </w:rPr>
              <w:t>e</w:t>
            </w:r>
            <w:r w:rsidR="002826E8">
              <w:rPr>
                <w:sz w:val="20"/>
                <w:szCs w:val="20"/>
              </w:rPr>
              <w:t>ntem życia społecznego są także kwestie religijne, które również znajdą miejsce w tematyce zajęć.</w:t>
            </w:r>
            <w:r w:rsidR="00EC4CFB">
              <w:rPr>
                <w:sz w:val="20"/>
                <w:szCs w:val="20"/>
              </w:rPr>
              <w:t xml:space="preserve"> Poza wymienionymi zagadnieniami warte omówienia będą także te skupione wokół szeroko rozumianego życia społecznego i prywatnego, jak sztuka kulinarna, życie codzienne oraz podróże po Europie, a tu oczywiście edukacyjne.</w:t>
            </w:r>
          </w:p>
        </w:tc>
      </w:tr>
      <w:tr w:rsidR="00320C31" w:rsidRPr="00777CD0" w14:paraId="37CB7C9A" w14:textId="77777777" w:rsidTr="00E36E08">
        <w:tblPrEx>
          <w:tblCellMar>
            <w:top w:w="0" w:type="dxa"/>
            <w:bottom w:w="0" w:type="dxa"/>
          </w:tblCellMar>
        </w:tblPrEx>
        <w:trPr>
          <w:trHeight w:val="1694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C3E156" w14:textId="77777777" w:rsidR="00320C31" w:rsidRPr="00777CD0" w:rsidRDefault="000A0471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="00320C31" w:rsidRPr="00777CD0">
              <w:rPr>
                <w:b/>
                <w:sz w:val="20"/>
                <w:szCs w:val="20"/>
              </w:rPr>
              <w:t>Treści programowe</w:t>
            </w:r>
          </w:p>
          <w:p w14:paraId="6C3A74FD" w14:textId="3A8F4797" w:rsidR="001A5B42" w:rsidRDefault="001A5B42" w:rsidP="001A5B4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Systemy władzy w Europie w XVII-XVIII wieku.</w:t>
            </w:r>
          </w:p>
          <w:p w14:paraId="3D48361E" w14:textId="77777777" w:rsidR="002276F2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Dyplomacja  europejska </w:t>
            </w:r>
            <w:r w:rsidR="001A5B42">
              <w:rPr>
                <w:sz w:val="20"/>
                <w:szCs w:val="20"/>
              </w:rPr>
              <w:t>w XVII wieku</w:t>
            </w:r>
            <w:r>
              <w:rPr>
                <w:sz w:val="20"/>
                <w:szCs w:val="20"/>
              </w:rPr>
              <w:t xml:space="preserve"> – główne kierunki i sposoby działań.</w:t>
            </w:r>
          </w:p>
          <w:p w14:paraId="681A4861" w14:textId="5E655B57" w:rsidR="002276F2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Działania dyplomacji francuskiej w Europie Środkowo-Wschodniej w połowie i II połowie XVII wieku.</w:t>
            </w:r>
          </w:p>
          <w:p w14:paraId="716E0D91" w14:textId="2D5ED09B" w:rsidR="002276F2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Dyplomacja angielska w II połowie XVII wieku – </w:t>
            </w:r>
            <w:proofErr w:type="spellStart"/>
            <w:r>
              <w:rPr>
                <w:sz w:val="20"/>
                <w:szCs w:val="20"/>
              </w:rPr>
              <w:t>balance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>
              <w:rPr>
                <w:sz w:val="20"/>
                <w:szCs w:val="20"/>
              </w:rPr>
              <w:t>pawer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3AD75A81" w14:textId="4419C521" w:rsidR="006172DC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Społeczeństwo europejskie w systemach władzy monarszej.</w:t>
            </w:r>
          </w:p>
          <w:p w14:paraId="2BAC6D8A" w14:textId="21C46AD8" w:rsidR="002826E8" w:rsidRPr="002826E8" w:rsidRDefault="002826E8" w:rsidP="002826E8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Monarchowie i ich faworyci w systemie władzy w Europie Zachodniej w XVII-XVIII.</w:t>
            </w:r>
          </w:p>
          <w:p w14:paraId="540CE5CF" w14:textId="2AF74456" w:rsidR="002276F2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proofErr w:type="spellStart"/>
            <w:r>
              <w:rPr>
                <w:sz w:val="20"/>
                <w:szCs w:val="20"/>
              </w:rPr>
              <w:t>klientalny</w:t>
            </w:r>
            <w:proofErr w:type="spellEnd"/>
            <w:r>
              <w:rPr>
                <w:sz w:val="20"/>
                <w:szCs w:val="20"/>
              </w:rPr>
              <w:t xml:space="preserve"> we Francji w XVII i XVIII wieku.</w:t>
            </w:r>
          </w:p>
          <w:p w14:paraId="6B0570B4" w14:textId="34C64C3E" w:rsidR="002276F2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proofErr w:type="spellStart"/>
            <w:r>
              <w:rPr>
                <w:sz w:val="20"/>
                <w:szCs w:val="20"/>
              </w:rPr>
              <w:t>klientalny</w:t>
            </w:r>
            <w:proofErr w:type="spellEnd"/>
            <w:r>
              <w:rPr>
                <w:sz w:val="20"/>
                <w:szCs w:val="20"/>
              </w:rPr>
              <w:t xml:space="preserve"> w Anglii w XVII-XVIII wieku.</w:t>
            </w:r>
          </w:p>
          <w:p w14:paraId="3667A71D" w14:textId="7CF025B0" w:rsidR="002276F2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 </w:t>
            </w:r>
            <w:proofErr w:type="spellStart"/>
            <w:r>
              <w:rPr>
                <w:sz w:val="20"/>
                <w:szCs w:val="20"/>
              </w:rPr>
              <w:t>klientalny</w:t>
            </w:r>
            <w:proofErr w:type="spellEnd"/>
            <w:r>
              <w:rPr>
                <w:sz w:val="20"/>
                <w:szCs w:val="20"/>
              </w:rPr>
              <w:t xml:space="preserve"> w Rzeczypospolitej.</w:t>
            </w:r>
          </w:p>
          <w:p w14:paraId="0276F039" w14:textId="4E395283" w:rsidR="002276F2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Stronnictwa dworskie, partie rojalistyczne i opozycja w systemach społeczno-politycznych Europu na przykładzie Francji, Anglii i Rzeczypospolitej.</w:t>
            </w:r>
          </w:p>
          <w:p w14:paraId="081F583D" w14:textId="1D2B229A" w:rsidR="002276F2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Reformacja czy reformacje w Europie XVI wieku – od rewolucji do decyzji królewskiej.</w:t>
            </w:r>
          </w:p>
          <w:p w14:paraId="1ADB2B9D" w14:textId="3278CA60" w:rsidR="002276F2" w:rsidRDefault="002276F2" w:rsidP="002276F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Życie codzienne społeczeństw europejskich na przykładzie Francji i Hiszpanii.</w:t>
            </w:r>
          </w:p>
          <w:p w14:paraId="50412E7C" w14:textId="6E5CF678" w:rsidR="006C6800" w:rsidRDefault="002276F2" w:rsidP="006C6800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Życie na dworze europejskim – Wersal, Madryt, Warszawa.</w:t>
            </w:r>
          </w:p>
          <w:p w14:paraId="7F68445D" w14:textId="237FE872" w:rsidR="006C6800" w:rsidRPr="006C6800" w:rsidRDefault="006C6800" w:rsidP="006C6800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 kulinarna na dworach europejskich na przykładzie Francji, Hiszpanii i Rzeczypospolitej.</w:t>
            </w:r>
          </w:p>
          <w:p w14:paraId="136228FF" w14:textId="4744CAAA" w:rsidR="007B646B" w:rsidRPr="006C6800" w:rsidRDefault="002276F2" w:rsidP="00F02010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Podróże edukacyjne po Europie – najważniejsze ośrodki akademickie Starego Kontynentu.</w:t>
            </w:r>
          </w:p>
        </w:tc>
      </w:tr>
      <w:tr w:rsidR="00320C31" w:rsidRPr="00777CD0" w14:paraId="1FD2D2B4" w14:textId="77777777" w:rsidTr="004F32DB">
        <w:tblPrEx>
          <w:tblCellMar>
            <w:top w:w="0" w:type="dxa"/>
            <w:bottom w:w="0" w:type="dxa"/>
          </w:tblCellMar>
        </w:tblPrEx>
        <w:trPr>
          <w:trHeight w:val="2213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78021B" w14:textId="77777777" w:rsidR="000B5AA2" w:rsidRPr="00777CD0" w:rsidRDefault="00320C31" w:rsidP="00777C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lastRenderedPageBreak/>
              <w:t xml:space="preserve">Wykaz literatury </w:t>
            </w:r>
          </w:p>
          <w:p w14:paraId="5AF57756" w14:textId="77777777" w:rsidR="00D17557" w:rsidRPr="00777CD0" w:rsidRDefault="00635DE7" w:rsidP="00990104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A. Literatura </w:t>
            </w:r>
            <w:r w:rsidR="00D17557" w:rsidRPr="00777CD0">
              <w:rPr>
                <w:b/>
                <w:sz w:val="20"/>
                <w:szCs w:val="20"/>
              </w:rPr>
              <w:t>wymagana do ostatecznego za</w:t>
            </w:r>
            <w:r w:rsidR="00777CD0">
              <w:rPr>
                <w:b/>
                <w:sz w:val="20"/>
                <w:szCs w:val="20"/>
              </w:rPr>
              <w:t>liczenia zajęć</w:t>
            </w:r>
            <w:r w:rsidR="00D17557" w:rsidRPr="00777CD0">
              <w:rPr>
                <w:b/>
                <w:sz w:val="20"/>
                <w:szCs w:val="20"/>
              </w:rPr>
              <w:t>:</w:t>
            </w:r>
          </w:p>
          <w:p w14:paraId="15EFFA8F" w14:textId="2ED16151" w:rsidR="00EE293F" w:rsidRPr="00B35764" w:rsidRDefault="00EE293F" w:rsidP="00B5162D">
            <w:pPr>
              <w:rPr>
                <w:sz w:val="20"/>
                <w:szCs w:val="20"/>
              </w:rPr>
            </w:pPr>
            <w:r w:rsidRPr="00B35764">
              <w:rPr>
                <w:sz w:val="20"/>
                <w:szCs w:val="20"/>
              </w:rPr>
              <w:t>Z. Wójcik, Historia powszechna  XVI-XVII wieku</w:t>
            </w:r>
            <w:r>
              <w:rPr>
                <w:sz w:val="20"/>
                <w:szCs w:val="20"/>
              </w:rPr>
              <w:t>;</w:t>
            </w:r>
            <w:r w:rsidRPr="00B35764">
              <w:rPr>
                <w:sz w:val="20"/>
                <w:szCs w:val="20"/>
              </w:rPr>
              <w:t xml:space="preserve"> E. Rostworowski, Historia powszechna XVIII wieku</w:t>
            </w:r>
            <w:r>
              <w:rPr>
                <w:sz w:val="20"/>
                <w:szCs w:val="20"/>
              </w:rPr>
              <w:t>;</w:t>
            </w:r>
            <w:r w:rsidRPr="00B35764">
              <w:rPr>
                <w:sz w:val="20"/>
                <w:szCs w:val="20"/>
              </w:rPr>
              <w:t xml:space="preserve"> W. Czapliński, Historia Niemiec, Wrocław 1981</w:t>
            </w:r>
            <w:r>
              <w:rPr>
                <w:sz w:val="20"/>
                <w:szCs w:val="20"/>
              </w:rPr>
              <w:t>; J</w:t>
            </w:r>
            <w:r w:rsidRPr="004F6235">
              <w:rPr>
                <w:sz w:val="20"/>
                <w:szCs w:val="20"/>
              </w:rPr>
              <w:t>. Kędzierski, Dzieje Anglii, Wrocław 1986; Paul Jonson, Historia Anglików, Gdańsk 1995; J. Baszkiewicz, Historia Francji, Wrocław 1995</w:t>
            </w:r>
            <w:r>
              <w:rPr>
                <w:sz w:val="20"/>
                <w:szCs w:val="20"/>
              </w:rPr>
              <w:t xml:space="preserve">, </w:t>
            </w:r>
            <w:r w:rsidR="006C6800">
              <w:rPr>
                <w:sz w:val="20"/>
                <w:szCs w:val="20"/>
              </w:rPr>
              <w:t>M</w:t>
            </w:r>
            <w:r w:rsidRPr="004F6235">
              <w:rPr>
                <w:sz w:val="20"/>
                <w:szCs w:val="20"/>
              </w:rPr>
              <w:t xml:space="preserve">. Tulon de Lane, J. </w:t>
            </w:r>
            <w:proofErr w:type="spellStart"/>
            <w:r w:rsidRPr="004F6235">
              <w:rPr>
                <w:sz w:val="20"/>
                <w:szCs w:val="20"/>
              </w:rPr>
              <w:t>Valdeon</w:t>
            </w:r>
            <w:proofErr w:type="spellEnd"/>
            <w:r w:rsidRPr="004F6235">
              <w:rPr>
                <w:sz w:val="20"/>
                <w:szCs w:val="20"/>
              </w:rPr>
              <w:t xml:space="preserve"> </w:t>
            </w:r>
            <w:proofErr w:type="spellStart"/>
            <w:r w:rsidRPr="004F6235">
              <w:rPr>
                <w:sz w:val="20"/>
                <w:szCs w:val="20"/>
              </w:rPr>
              <w:t>Baruque</w:t>
            </w:r>
            <w:proofErr w:type="spellEnd"/>
            <w:r w:rsidRPr="004F6235">
              <w:rPr>
                <w:sz w:val="20"/>
                <w:szCs w:val="20"/>
              </w:rPr>
              <w:t xml:space="preserve">, A. Dominique </w:t>
            </w:r>
            <w:proofErr w:type="spellStart"/>
            <w:r w:rsidRPr="004F6235">
              <w:rPr>
                <w:sz w:val="20"/>
                <w:szCs w:val="20"/>
              </w:rPr>
              <w:t>Ortiz</w:t>
            </w:r>
            <w:proofErr w:type="spellEnd"/>
            <w:r w:rsidRPr="004F6235">
              <w:rPr>
                <w:sz w:val="20"/>
                <w:szCs w:val="20"/>
              </w:rPr>
              <w:t>, Historia Hiszpanii, Kraków 1998</w:t>
            </w:r>
            <w:r>
              <w:rPr>
                <w:sz w:val="20"/>
                <w:szCs w:val="20"/>
              </w:rPr>
              <w:t>,</w:t>
            </w:r>
            <w:r w:rsidR="00990104">
              <w:rPr>
                <w:iCs/>
                <w:spacing w:val="-2"/>
                <w:sz w:val="20"/>
                <w:szCs w:val="20"/>
              </w:rPr>
              <w:t xml:space="preserve"> U. </w:t>
            </w:r>
            <w:r w:rsidR="00990104" w:rsidRPr="00990104">
              <w:rPr>
                <w:iCs/>
                <w:spacing w:val="-2"/>
                <w:sz w:val="20"/>
                <w:szCs w:val="20"/>
              </w:rPr>
              <w:t>Augustyniak, Historia Polski, 1572-1795</w:t>
            </w:r>
            <w:r w:rsidR="00990104">
              <w:rPr>
                <w:iCs/>
                <w:spacing w:val="-2"/>
                <w:sz w:val="20"/>
                <w:szCs w:val="20"/>
              </w:rPr>
              <w:t xml:space="preserve">, </w:t>
            </w:r>
            <w:r w:rsidR="00990104" w:rsidRPr="00990104">
              <w:rPr>
                <w:iCs/>
                <w:spacing w:val="-2"/>
                <w:sz w:val="20"/>
                <w:szCs w:val="20"/>
              </w:rPr>
              <w:t>Warszawa 2008</w:t>
            </w:r>
            <w:r w:rsidR="00990104">
              <w:rPr>
                <w:iCs/>
                <w:spacing w:val="-2"/>
                <w:sz w:val="20"/>
                <w:szCs w:val="20"/>
              </w:rPr>
              <w:t xml:space="preserve">; M. Markiewicz, </w:t>
            </w:r>
            <w:r w:rsidR="00990104" w:rsidRPr="00990104">
              <w:rPr>
                <w:iCs/>
                <w:spacing w:val="-2"/>
                <w:sz w:val="20"/>
                <w:szCs w:val="20"/>
              </w:rPr>
              <w:t>Historia Polski : 1492-1795</w:t>
            </w:r>
            <w:r w:rsidR="00990104">
              <w:rPr>
                <w:iCs/>
                <w:spacing w:val="-2"/>
                <w:sz w:val="20"/>
                <w:szCs w:val="20"/>
              </w:rPr>
              <w:t xml:space="preserve">, </w:t>
            </w:r>
            <w:r w:rsidR="00990104" w:rsidRPr="00990104">
              <w:rPr>
                <w:iCs/>
                <w:spacing w:val="-2"/>
                <w:sz w:val="20"/>
                <w:szCs w:val="20"/>
              </w:rPr>
              <w:t>Kraków 2004</w:t>
            </w:r>
            <w:r w:rsidR="00175E5F">
              <w:rPr>
                <w:iCs/>
                <w:spacing w:val="-2"/>
                <w:sz w:val="20"/>
                <w:szCs w:val="20"/>
              </w:rPr>
              <w:t xml:space="preserve">; </w:t>
            </w:r>
            <w:r w:rsidR="006C6800">
              <w:rPr>
                <w:iCs/>
                <w:spacing w:val="-2"/>
                <w:sz w:val="20"/>
                <w:szCs w:val="20"/>
              </w:rPr>
              <w:t xml:space="preserve">A. Mączak, </w:t>
            </w:r>
            <w:r w:rsidR="006C6800" w:rsidRPr="006C6800">
              <w:rPr>
                <w:iCs/>
                <w:spacing w:val="-2"/>
                <w:sz w:val="20"/>
                <w:szCs w:val="20"/>
              </w:rPr>
              <w:t>Klientela. Nieformalne systemy władzy w Polsce i Europie XVI-XVIII w.</w:t>
            </w:r>
            <w:r w:rsidR="00D97699">
              <w:rPr>
                <w:iCs/>
                <w:spacing w:val="-2"/>
                <w:sz w:val="20"/>
                <w:szCs w:val="20"/>
              </w:rPr>
              <w:t>, Warszawa 1994.</w:t>
            </w:r>
          </w:p>
          <w:p w14:paraId="326BEB09" w14:textId="77777777" w:rsidR="00635DE7" w:rsidRPr="00777CD0" w:rsidRDefault="00635DE7" w:rsidP="00990104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B. Literatura </w:t>
            </w:r>
            <w:r w:rsidR="004F32DB" w:rsidRPr="00777CD0">
              <w:rPr>
                <w:b/>
                <w:sz w:val="20"/>
                <w:szCs w:val="20"/>
              </w:rPr>
              <w:t>uzupełniająca</w:t>
            </w:r>
          </w:p>
          <w:p w14:paraId="71247CC0" w14:textId="0E17F2A1" w:rsidR="00990104" w:rsidRPr="006C6800" w:rsidRDefault="006C6800" w:rsidP="006C6800">
            <w:pPr>
              <w:ind w:left="72"/>
              <w:rPr>
                <w:iCs/>
                <w:spacing w:val="-2"/>
                <w:sz w:val="20"/>
                <w:szCs w:val="20"/>
              </w:rPr>
            </w:pPr>
            <w:r w:rsidRPr="006C6800">
              <w:rPr>
                <w:iCs/>
                <w:spacing w:val="-2"/>
                <w:sz w:val="20"/>
                <w:szCs w:val="20"/>
              </w:rPr>
              <w:t xml:space="preserve">Życie codzienne w XVIII-XX wieku i jego wpływ na stan zdrowia ludności, pod red. B. Płonka-Syroka i A. Syroka, Wrocław 2003, M.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Defourneaux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 xml:space="preserve">, Życie codzienne w Hiszpanii w wieku złotym, Warszawa 1968; R.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Gałaj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 xml:space="preserve">, Życie codzienne szlachty polskiej w okresie sarmatyzmu, Szczecin 1998; B.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Fabiani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 xml:space="preserve">, Życie codzienne na Zamku Królewskim w epoce Wazów, Warszawa 1996;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Francois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Bluche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 xml:space="preserve">, Życie codzienne we Francji w czasach Ludwika XIV, Warszawa 1990;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Raphaela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 xml:space="preserve"> Lewis, Życie codzienne w Turcji osmańskiej, Warszawa 1984; J. Lileyko, Życie codzienne w Warszawie za Wazów, Warszawa 1984; A. Mączak, Życie codzienne w podróżach po Europie w XVI I XVII wieku, Warszawa 1978; Michel Richard, Życie codzienne hugenotów od edyktu nantejskiego do Rewolucji Francuskiej, Warszawa 1978; W. Czapliński, J. Długosz, Życie codzienne magnaterii polskiej w XVII wieku, Warszawa 1976;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Muriel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 xml:space="preserve"> St. Clare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Byrne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 xml:space="preserve">, Życie codzienne w Anglii elżbietańskiej, Warszawa 1971; A.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Berdecka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 xml:space="preserve">, Irena Turnau, Życie codzienne w Warszawie okresu Oświecenia, Warszawa 1969; Paul </w:t>
            </w:r>
            <w:proofErr w:type="spellStart"/>
            <w:r w:rsidRPr="006C6800">
              <w:rPr>
                <w:iCs/>
                <w:spacing w:val="-2"/>
                <w:sz w:val="20"/>
                <w:szCs w:val="20"/>
              </w:rPr>
              <w:t>Zumthor</w:t>
            </w:r>
            <w:proofErr w:type="spellEnd"/>
            <w:r w:rsidRPr="006C6800">
              <w:rPr>
                <w:iCs/>
                <w:spacing w:val="-2"/>
                <w:sz w:val="20"/>
                <w:szCs w:val="20"/>
              </w:rPr>
              <w:t>, Życie codzienne w Holandii w czasach Rembrandta, Warszawa 1965;</w:t>
            </w:r>
            <w:r>
              <w:t xml:space="preserve"> </w:t>
            </w:r>
            <w:r w:rsidRPr="006C6800">
              <w:rPr>
                <w:iCs/>
                <w:spacing w:val="-2"/>
                <w:sz w:val="20"/>
                <w:szCs w:val="20"/>
              </w:rPr>
              <w:t>J. Szczygieł-Rogowska, Historia kosmetyki w zarysie: z dziejów kosmetyki i sztuki upiększania od starożytności do poł. XX w., Białystok 2005</w:t>
            </w:r>
            <w:r>
              <w:rPr>
                <w:iCs/>
                <w:spacing w:val="-2"/>
                <w:sz w:val="20"/>
                <w:szCs w:val="20"/>
              </w:rPr>
              <w:t xml:space="preserve">; </w:t>
            </w:r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J. M. Todd, Marcin Luter, Warszawa 1998; Manfred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Bensing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, Wojna chłopska w Niemczech 1524-1526, 1973; J.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Lecler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, Historia tolerancji w wieku reformacji, t. 1 i 2; Warszawa 1964; H. Schilling, Jedność i różnorodność Europy we współczesnej epoce nowożytnej: religia, społeczeństwo, państwo, Warszawa 2010; W.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Kriegseisen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, Stosunki wyznaniowe w relacjach państwo-kościół między reformacją a oświeceniem: (Rzesza Niemiecka, Niderlandy Północne, Rzeczpospolita polsko-litewska), Warszawa 2010; J.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Burkhardt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, Stulecie reformacji w Niemczech (1517-1617): między rewolucją medialną a przełomem instytucjonalnym, Warszawa 2009; M.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Treu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, Marcin Luter – reformator, Bielsko Biała- Katowice 2006; H. A.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Oberman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, Marcin Luter: człowiek między bogiem a diabłem, Gdańsk 2004; P.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Burke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, Fabrykacja Ludwika XIV, Warszawa 2011;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Charl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Tilly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, Rewolucje europejskie, Warszawa 1997; J. Basista, Kilka uwag o konstytucyjnych przyczynach angielskiej wojny domowej, Śląski Kwartalnik Historyczny Sobótka 1992, nr 1/2; M.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Tarabuła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, Argument dobra publicznego w angielskiej retoryce politycznej 1606-1653, Studia Historyczne, Nr 129 (1997), S. Grzybowski, Henryk VIII i reformacja w Anglii, Warszawa 1969; K. Piwowarski, Wojny religijne, Poznań 1998; A. E.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McGrath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 xml:space="preserve"> Jan Kalwin: studium kształtowania kultury Zachodu, Warszawa 2009; M. </w:t>
            </w:r>
            <w:proofErr w:type="spellStart"/>
            <w:r w:rsidR="00EE293F" w:rsidRPr="00EE293F">
              <w:rPr>
                <w:iCs/>
                <w:spacing w:val="-2"/>
                <w:sz w:val="20"/>
                <w:szCs w:val="20"/>
              </w:rPr>
              <w:t>Turchetti</w:t>
            </w:r>
            <w:proofErr w:type="spellEnd"/>
            <w:r w:rsidR="00EE293F" w:rsidRPr="00EE293F">
              <w:rPr>
                <w:iCs/>
                <w:spacing w:val="-2"/>
                <w:sz w:val="20"/>
                <w:szCs w:val="20"/>
              </w:rPr>
              <w:t>, Alternatywa zgody i tolerancji podczas francuskich wojen religijnych (1562-1598), Odrodzenie i Reformacja w Polsce, t.</w:t>
            </w:r>
            <w:r w:rsidR="00990104">
              <w:rPr>
                <w:iCs/>
                <w:spacing w:val="-2"/>
                <w:sz w:val="20"/>
                <w:szCs w:val="20"/>
              </w:rPr>
              <w:t xml:space="preserve"> </w:t>
            </w:r>
            <w:r w:rsidR="00EE293F" w:rsidRPr="00EE293F">
              <w:rPr>
                <w:iCs/>
                <w:spacing w:val="-2"/>
                <w:sz w:val="20"/>
                <w:szCs w:val="20"/>
              </w:rPr>
              <w:t>34, 1989</w:t>
            </w:r>
            <w:r>
              <w:rPr>
                <w:iCs/>
                <w:spacing w:val="-2"/>
                <w:sz w:val="20"/>
                <w:szCs w:val="20"/>
              </w:rPr>
              <w:t>.</w:t>
            </w:r>
          </w:p>
        </w:tc>
      </w:tr>
      <w:tr w:rsidR="00052198" w:rsidRPr="00777CD0" w14:paraId="4BFF9CCB" w14:textId="77777777" w:rsidTr="00633F9A">
        <w:tblPrEx>
          <w:tblCellMar>
            <w:top w:w="0" w:type="dxa"/>
            <w:bottom w:w="0" w:type="dxa"/>
          </w:tblCellMar>
        </w:tblPrEx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75EA0E17" w14:textId="77777777" w:rsidR="00052198" w:rsidRPr="00777CD0" w:rsidRDefault="00052198" w:rsidP="00052198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Efekty </w:t>
            </w:r>
            <w:r>
              <w:rPr>
                <w:b/>
                <w:sz w:val="20"/>
                <w:szCs w:val="20"/>
              </w:rPr>
              <w:t>uczenia się</w:t>
            </w:r>
          </w:p>
        </w:tc>
        <w:tc>
          <w:tcPr>
            <w:tcW w:w="9781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F2B8C3B" w14:textId="77777777" w:rsidR="00052198" w:rsidRPr="00651019" w:rsidRDefault="00052198" w:rsidP="00052198">
            <w:pPr>
              <w:spacing w:line="276" w:lineRule="auto"/>
              <w:rPr>
                <w:b/>
                <w:sz w:val="20"/>
                <w:szCs w:val="20"/>
              </w:rPr>
            </w:pPr>
            <w:r w:rsidRPr="00651019">
              <w:rPr>
                <w:b/>
                <w:sz w:val="20"/>
                <w:szCs w:val="20"/>
              </w:rPr>
              <w:t xml:space="preserve"> Wiedza</w:t>
            </w:r>
          </w:p>
          <w:p w14:paraId="34AF8149" w14:textId="52C9EBB9" w:rsidR="00052198" w:rsidRPr="00777CD0" w:rsidRDefault="002276F2" w:rsidP="00D97699">
            <w:pPr>
              <w:spacing w:line="276" w:lineRule="auto"/>
              <w:rPr>
                <w:sz w:val="20"/>
                <w:szCs w:val="20"/>
              </w:rPr>
            </w:pPr>
            <w:r w:rsidRPr="002276F2">
              <w:rPr>
                <w:sz w:val="20"/>
                <w:szCs w:val="20"/>
              </w:rPr>
              <w:t>Ma pogłębioną wiedzę o specyfice  wiedzę o specyfice przedmiotowej i metodologicznej nauk historycznych</w:t>
            </w:r>
            <w:r w:rsidR="00D97699">
              <w:rPr>
                <w:sz w:val="20"/>
                <w:szCs w:val="20"/>
              </w:rPr>
              <w:t xml:space="preserve"> (</w:t>
            </w:r>
            <w:r w:rsidR="00D97699" w:rsidRPr="002276F2">
              <w:rPr>
                <w:sz w:val="20"/>
                <w:szCs w:val="20"/>
              </w:rPr>
              <w:t>K_W01</w:t>
            </w:r>
            <w:r w:rsidR="00D97699">
              <w:rPr>
                <w:sz w:val="20"/>
                <w:szCs w:val="20"/>
              </w:rPr>
              <w:t>/</w:t>
            </w:r>
            <w:r w:rsidRPr="002276F2">
              <w:rPr>
                <w:sz w:val="20"/>
                <w:szCs w:val="20"/>
              </w:rPr>
              <w:t>P7S_WG</w:t>
            </w:r>
            <w:r w:rsidR="00D97699">
              <w:rPr>
                <w:sz w:val="20"/>
                <w:szCs w:val="20"/>
              </w:rPr>
              <w:t xml:space="preserve">); </w:t>
            </w:r>
            <w:r w:rsidRPr="002276F2">
              <w:rPr>
                <w:sz w:val="20"/>
                <w:szCs w:val="20"/>
              </w:rPr>
              <w:t>Posiada szczegółową  wiedzę z zakresu historii Polski i powszechnej</w:t>
            </w:r>
            <w:r w:rsidR="00D97699">
              <w:rPr>
                <w:sz w:val="20"/>
                <w:szCs w:val="20"/>
              </w:rPr>
              <w:t xml:space="preserve"> (</w:t>
            </w:r>
            <w:r w:rsidR="00D97699" w:rsidRPr="002276F2">
              <w:rPr>
                <w:sz w:val="20"/>
                <w:szCs w:val="20"/>
              </w:rPr>
              <w:t>K_W02</w:t>
            </w:r>
            <w:r w:rsidR="00D97699">
              <w:rPr>
                <w:sz w:val="20"/>
                <w:szCs w:val="20"/>
              </w:rPr>
              <w:t>/</w:t>
            </w:r>
            <w:r w:rsidRPr="002276F2">
              <w:rPr>
                <w:sz w:val="20"/>
                <w:szCs w:val="20"/>
              </w:rPr>
              <w:t>P7S_WG</w:t>
            </w:r>
            <w:r w:rsidR="00D97699">
              <w:rPr>
                <w:sz w:val="20"/>
                <w:szCs w:val="20"/>
              </w:rPr>
              <w:t xml:space="preserve">); </w:t>
            </w:r>
            <w:r w:rsidRPr="002276F2">
              <w:rPr>
                <w:sz w:val="20"/>
                <w:szCs w:val="20"/>
              </w:rPr>
              <w:t>Wie o istnieniu w naukach historycznych i społecznych różnych punktów widzenia, determinowanych różnym podłożem narodowym i kulturowym</w:t>
            </w:r>
            <w:r w:rsidR="00D97699">
              <w:rPr>
                <w:sz w:val="20"/>
                <w:szCs w:val="20"/>
              </w:rPr>
              <w:t xml:space="preserve"> (</w:t>
            </w:r>
            <w:r w:rsidR="00D97699" w:rsidRPr="002276F2">
              <w:rPr>
                <w:sz w:val="20"/>
                <w:szCs w:val="20"/>
              </w:rPr>
              <w:t>K_W09</w:t>
            </w:r>
            <w:r w:rsidR="00D97699">
              <w:rPr>
                <w:sz w:val="20"/>
                <w:szCs w:val="20"/>
              </w:rPr>
              <w:t>/</w:t>
            </w:r>
            <w:r w:rsidRPr="002276F2">
              <w:rPr>
                <w:sz w:val="20"/>
                <w:szCs w:val="20"/>
              </w:rPr>
              <w:t>P7S_WG</w:t>
            </w:r>
            <w:r w:rsidR="00D9769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;</w:t>
            </w:r>
            <w:r w:rsidR="00D97699">
              <w:rPr>
                <w:sz w:val="20"/>
                <w:szCs w:val="20"/>
              </w:rPr>
              <w:t xml:space="preserve"> </w:t>
            </w:r>
            <w:r w:rsidRPr="002276F2">
              <w:rPr>
                <w:sz w:val="20"/>
                <w:szCs w:val="20"/>
              </w:rPr>
              <w:t>Jest świadomy, że badania i debata historyczna są procesem, który niesie ze sobą nieustanne zmiany i rozwój poglądów</w:t>
            </w:r>
            <w:r w:rsidR="00D97699">
              <w:rPr>
                <w:sz w:val="20"/>
                <w:szCs w:val="20"/>
              </w:rPr>
              <w:t xml:space="preserve"> (</w:t>
            </w:r>
            <w:r w:rsidR="00D97699" w:rsidRPr="002276F2">
              <w:rPr>
                <w:sz w:val="20"/>
                <w:szCs w:val="20"/>
              </w:rPr>
              <w:t>K_W11</w:t>
            </w:r>
            <w:r w:rsidR="00D97699">
              <w:rPr>
                <w:sz w:val="20"/>
                <w:szCs w:val="20"/>
              </w:rPr>
              <w:t>/</w:t>
            </w:r>
            <w:r w:rsidRPr="002276F2">
              <w:rPr>
                <w:sz w:val="20"/>
                <w:szCs w:val="20"/>
              </w:rPr>
              <w:t>P7S_WG</w:t>
            </w:r>
            <w:r w:rsidR="00D97699">
              <w:rPr>
                <w:sz w:val="20"/>
                <w:szCs w:val="20"/>
              </w:rPr>
              <w:t>).</w:t>
            </w:r>
          </w:p>
        </w:tc>
      </w:tr>
      <w:tr w:rsidR="00052198" w:rsidRPr="00777CD0" w14:paraId="1B4B55C8" w14:textId="77777777" w:rsidTr="00633F9A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82EF855" w14:textId="77777777" w:rsidR="00052198" w:rsidRPr="00777CD0" w:rsidRDefault="00052198" w:rsidP="00052198">
            <w:pPr>
              <w:rPr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CF98D87" w14:textId="77777777" w:rsidR="00052198" w:rsidRPr="00651019" w:rsidRDefault="00052198" w:rsidP="00052198">
            <w:pPr>
              <w:spacing w:line="276" w:lineRule="auto"/>
              <w:rPr>
                <w:b/>
                <w:sz w:val="20"/>
                <w:szCs w:val="20"/>
              </w:rPr>
            </w:pPr>
            <w:r w:rsidRPr="00651019">
              <w:rPr>
                <w:b/>
                <w:sz w:val="20"/>
                <w:szCs w:val="20"/>
              </w:rPr>
              <w:t>Umiejętności</w:t>
            </w:r>
          </w:p>
          <w:p w14:paraId="7CB733CE" w14:textId="66625D59" w:rsidR="00052198" w:rsidRPr="00777CD0" w:rsidRDefault="00D97699" w:rsidP="00052198">
            <w:pPr>
              <w:rPr>
                <w:sz w:val="20"/>
                <w:szCs w:val="20"/>
              </w:rPr>
            </w:pPr>
            <w:r w:rsidRPr="00D97699">
              <w:rPr>
                <w:sz w:val="20"/>
                <w:szCs w:val="20"/>
              </w:rPr>
              <w:t>Posiada pogłębione umiejętności badawcze, obejmujące analizę prac innych autorów, syntezę różnych idei i poglądów, dobór metod i konstruowanie narzędzi badawczych, opatrywania przypisami i redagowania tekstów zgodnie z kanonami przyjętymi w różnych dziedzinach nauk humanistycznych, opracowanie i prezentację wyników, pozwalające na oryginalne rozwiązywanie złożonych problemów w zakresie historii</w:t>
            </w:r>
            <w:r>
              <w:rPr>
                <w:sz w:val="20"/>
                <w:szCs w:val="20"/>
              </w:rPr>
              <w:t xml:space="preserve"> (</w:t>
            </w:r>
            <w:r w:rsidRPr="00D97699">
              <w:rPr>
                <w:sz w:val="20"/>
                <w:szCs w:val="20"/>
              </w:rPr>
              <w:t>K_U02</w:t>
            </w:r>
            <w:r>
              <w:rPr>
                <w:sz w:val="20"/>
                <w:szCs w:val="20"/>
              </w:rPr>
              <w:t>/</w:t>
            </w:r>
            <w:r w:rsidRPr="00D97699">
              <w:rPr>
                <w:sz w:val="20"/>
                <w:szCs w:val="20"/>
              </w:rPr>
              <w:t>P7S_UW</w:t>
            </w:r>
            <w:r>
              <w:rPr>
                <w:sz w:val="20"/>
                <w:szCs w:val="20"/>
              </w:rPr>
              <w:t xml:space="preserve">); </w:t>
            </w:r>
            <w:r w:rsidRPr="00D97699">
              <w:rPr>
                <w:sz w:val="20"/>
                <w:szCs w:val="20"/>
              </w:rPr>
              <w:t>Potrafi przeprowadzić krytyczną analizę i interpretację różnych rodzajów wytworów kultury z zakresu historii, stosując oryginalne podejścia, uwzględniające nowe osiągnięcia humanistyki, w celu określenia ich znaczeń, oddziaływania społecznego, miejsca w procesie historyczno-kulturowym</w:t>
            </w:r>
            <w:r>
              <w:rPr>
                <w:sz w:val="20"/>
                <w:szCs w:val="20"/>
              </w:rPr>
              <w:t xml:space="preserve"> (</w:t>
            </w:r>
            <w:r w:rsidRPr="00D97699">
              <w:rPr>
                <w:sz w:val="20"/>
                <w:szCs w:val="20"/>
              </w:rPr>
              <w:t>K_U05</w:t>
            </w:r>
            <w:r>
              <w:rPr>
                <w:sz w:val="20"/>
                <w:szCs w:val="20"/>
              </w:rPr>
              <w:t>/</w:t>
            </w:r>
            <w:r w:rsidRPr="00D97699">
              <w:rPr>
                <w:sz w:val="20"/>
                <w:szCs w:val="20"/>
              </w:rPr>
              <w:t>P7S_UW</w:t>
            </w:r>
            <w:r>
              <w:rPr>
                <w:sz w:val="20"/>
                <w:szCs w:val="20"/>
              </w:rPr>
              <w:t xml:space="preserve">); </w:t>
            </w:r>
            <w:r w:rsidRPr="00D97699">
              <w:rPr>
                <w:sz w:val="20"/>
                <w:szCs w:val="20"/>
              </w:rPr>
              <w:t>Posiada umiejętność formułowania opinii krytycznych o wytworach kultury na podstawie wiedzy naukowej i doświadczenia oraz umiejętność prezentacji opracowań krytycznych w różnych formach i w różnych mediach</w:t>
            </w:r>
            <w:r>
              <w:rPr>
                <w:sz w:val="20"/>
                <w:szCs w:val="20"/>
              </w:rPr>
              <w:t xml:space="preserve"> (</w:t>
            </w:r>
            <w:r w:rsidR="002826E8" w:rsidRPr="00D97699">
              <w:rPr>
                <w:sz w:val="20"/>
                <w:szCs w:val="20"/>
              </w:rPr>
              <w:t>K_U08</w:t>
            </w:r>
            <w:r w:rsidR="002826E8">
              <w:rPr>
                <w:sz w:val="20"/>
                <w:szCs w:val="20"/>
              </w:rPr>
              <w:t>/</w:t>
            </w:r>
            <w:r w:rsidRPr="00D97699">
              <w:rPr>
                <w:sz w:val="20"/>
                <w:szCs w:val="20"/>
              </w:rPr>
              <w:t>P7S_UW/K</w:t>
            </w:r>
            <w:r w:rsidR="002826E8">
              <w:rPr>
                <w:sz w:val="20"/>
                <w:szCs w:val="20"/>
              </w:rPr>
              <w:t>).</w:t>
            </w:r>
          </w:p>
        </w:tc>
      </w:tr>
      <w:tr w:rsidR="00052198" w:rsidRPr="00777CD0" w14:paraId="5D72B432" w14:textId="77777777" w:rsidTr="00633F9A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4269B85" w14:textId="77777777" w:rsidR="00052198" w:rsidRPr="00777CD0" w:rsidRDefault="00052198" w:rsidP="00052198">
            <w:pPr>
              <w:rPr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290A31" w14:textId="77777777" w:rsidR="00052198" w:rsidRPr="00651019" w:rsidRDefault="00052198" w:rsidP="00052198">
            <w:pPr>
              <w:spacing w:line="276" w:lineRule="auto"/>
              <w:rPr>
                <w:b/>
                <w:sz w:val="20"/>
                <w:szCs w:val="20"/>
              </w:rPr>
            </w:pPr>
            <w:r w:rsidRPr="00651019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6978E193" w14:textId="66C76FEC" w:rsidR="00052198" w:rsidRPr="00777CD0" w:rsidRDefault="00D97699" w:rsidP="002055B2">
            <w:pPr>
              <w:rPr>
                <w:sz w:val="20"/>
                <w:szCs w:val="20"/>
              </w:rPr>
            </w:pPr>
            <w:r w:rsidRPr="00D97699">
              <w:rPr>
                <w:sz w:val="20"/>
                <w:szCs w:val="20"/>
              </w:rPr>
              <w:t>Rozumie konieczność i odczuwa potrzebę ciągłego dokształcania się i rozwoju kulturalnego oraz potrafi inspirować i organizować proces uczenia się innych osób</w:t>
            </w:r>
            <w:r w:rsidR="002826E8">
              <w:rPr>
                <w:sz w:val="20"/>
                <w:szCs w:val="20"/>
              </w:rPr>
              <w:t xml:space="preserve"> (</w:t>
            </w:r>
            <w:r w:rsidR="002826E8" w:rsidRPr="00D97699">
              <w:rPr>
                <w:sz w:val="20"/>
                <w:szCs w:val="20"/>
              </w:rPr>
              <w:t>K_K01</w:t>
            </w:r>
            <w:r w:rsidR="002826E8">
              <w:rPr>
                <w:sz w:val="20"/>
                <w:szCs w:val="20"/>
              </w:rPr>
              <w:t>/</w:t>
            </w:r>
            <w:r w:rsidRPr="00D97699">
              <w:rPr>
                <w:sz w:val="20"/>
                <w:szCs w:val="20"/>
              </w:rPr>
              <w:t>P7S_KO</w:t>
            </w:r>
            <w:r w:rsidR="002826E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;</w:t>
            </w:r>
            <w:r w:rsidR="002826E8">
              <w:rPr>
                <w:sz w:val="20"/>
                <w:szCs w:val="20"/>
              </w:rPr>
              <w:t xml:space="preserve"> </w:t>
            </w:r>
            <w:r w:rsidRPr="00D97699">
              <w:rPr>
                <w:sz w:val="20"/>
                <w:szCs w:val="20"/>
              </w:rPr>
              <w:t>Jest świadomy znaczenia nauk humanistycznych, a szczególnie historii i literatury dla utrzymania i rozwoju więzi społecznych na różnych poziomach</w:t>
            </w:r>
            <w:r w:rsidR="002826E8">
              <w:rPr>
                <w:sz w:val="20"/>
                <w:szCs w:val="20"/>
              </w:rPr>
              <w:t xml:space="preserve"> (</w:t>
            </w:r>
            <w:r w:rsidR="002826E8" w:rsidRPr="00D97699">
              <w:rPr>
                <w:sz w:val="20"/>
                <w:szCs w:val="20"/>
              </w:rPr>
              <w:t>K_K03</w:t>
            </w:r>
            <w:r w:rsidR="002826E8">
              <w:rPr>
                <w:sz w:val="20"/>
                <w:szCs w:val="20"/>
              </w:rPr>
              <w:t>/</w:t>
            </w:r>
            <w:r w:rsidRPr="00D97699">
              <w:rPr>
                <w:sz w:val="20"/>
                <w:szCs w:val="20"/>
              </w:rPr>
              <w:t>P7S_KK</w:t>
            </w:r>
            <w:r w:rsidR="002826E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;</w:t>
            </w:r>
            <w:r>
              <w:t xml:space="preserve"> </w:t>
            </w:r>
            <w:r w:rsidRPr="00D97699">
              <w:rPr>
                <w:sz w:val="20"/>
                <w:szCs w:val="20"/>
              </w:rPr>
              <w:t>Charakteryzuje się wrażliwością etyczną, empatią, otwartością, refleksyjnością oraz postawami prospołecznymi i poczuciem odpowiedzialności</w:t>
            </w:r>
            <w:r w:rsidR="002826E8">
              <w:rPr>
                <w:sz w:val="20"/>
                <w:szCs w:val="20"/>
              </w:rPr>
              <w:t xml:space="preserve"> (</w:t>
            </w:r>
            <w:r w:rsidR="002826E8" w:rsidRPr="00D97699">
              <w:rPr>
                <w:sz w:val="20"/>
                <w:szCs w:val="20"/>
              </w:rPr>
              <w:t>K_K09</w:t>
            </w:r>
            <w:r w:rsidR="002826E8">
              <w:rPr>
                <w:sz w:val="20"/>
                <w:szCs w:val="20"/>
              </w:rPr>
              <w:t>/</w:t>
            </w:r>
            <w:r w:rsidRPr="00D97699">
              <w:rPr>
                <w:sz w:val="20"/>
                <w:szCs w:val="20"/>
              </w:rPr>
              <w:t>P7S_KR</w:t>
            </w:r>
            <w:r w:rsidR="002826E8">
              <w:rPr>
                <w:sz w:val="20"/>
                <w:szCs w:val="20"/>
              </w:rPr>
              <w:t>).</w:t>
            </w:r>
          </w:p>
        </w:tc>
      </w:tr>
      <w:tr w:rsidR="00F8616B" w:rsidRPr="00EE293F" w14:paraId="507C8E39" w14:textId="77777777" w:rsidTr="00FF0459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77BC4E" w14:textId="77777777" w:rsidR="00F8616B" w:rsidRPr="00EE293F" w:rsidRDefault="00BB028A" w:rsidP="00777CD0">
            <w:pPr>
              <w:rPr>
                <w:b/>
                <w:sz w:val="20"/>
                <w:szCs w:val="20"/>
              </w:rPr>
            </w:pPr>
            <w:r w:rsidRPr="00EE293F">
              <w:rPr>
                <w:b/>
                <w:sz w:val="20"/>
                <w:szCs w:val="20"/>
              </w:rPr>
              <w:t xml:space="preserve"> Kontakt</w:t>
            </w:r>
          </w:p>
          <w:p w14:paraId="507FC384" w14:textId="77777777" w:rsidR="00BB028A" w:rsidRPr="00EE293F" w:rsidRDefault="00EE293F" w:rsidP="00777CD0">
            <w:pPr>
              <w:rPr>
                <w:sz w:val="20"/>
                <w:szCs w:val="20"/>
              </w:rPr>
            </w:pPr>
            <w:hyperlink r:id="rId6" w:history="1">
              <w:r w:rsidRPr="00784ED7">
                <w:rPr>
                  <w:rStyle w:val="Hipercze"/>
                  <w:sz w:val="18"/>
                  <w:szCs w:val="20"/>
                </w:rPr>
                <w:t>msawicki@uni.opole.pl</w:t>
              </w:r>
            </w:hyperlink>
            <w:r w:rsidRPr="00EE293F">
              <w:rPr>
                <w:sz w:val="18"/>
                <w:szCs w:val="20"/>
              </w:rPr>
              <w:t xml:space="preserve"> </w:t>
            </w:r>
          </w:p>
        </w:tc>
      </w:tr>
    </w:tbl>
    <w:p w14:paraId="5568F06E" w14:textId="77777777" w:rsidR="003E4096" w:rsidRPr="00777CD0" w:rsidRDefault="003E4096" w:rsidP="00777CD0">
      <w:pPr>
        <w:rPr>
          <w:sz w:val="4"/>
          <w:szCs w:val="4"/>
        </w:rPr>
      </w:pPr>
    </w:p>
    <w:sectPr w:rsidR="003E4096" w:rsidRPr="00777CD0" w:rsidSect="003E40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CC650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E6F5D"/>
    <w:multiLevelType w:val="hybridMultilevel"/>
    <w:tmpl w:val="1A162B0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9D27F0"/>
    <w:multiLevelType w:val="hybridMultilevel"/>
    <w:tmpl w:val="5726E6BC"/>
    <w:lvl w:ilvl="0" w:tplc="0415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A50AF"/>
    <w:multiLevelType w:val="hybridMultilevel"/>
    <w:tmpl w:val="173CCBB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658D5"/>
    <w:multiLevelType w:val="hybridMultilevel"/>
    <w:tmpl w:val="1ED06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12B49"/>
    <w:multiLevelType w:val="hybridMultilevel"/>
    <w:tmpl w:val="8F843ABA"/>
    <w:lvl w:ilvl="0" w:tplc="0415000D">
      <w:start w:val="1"/>
      <w:numFmt w:val="bullet"/>
      <w:lvlText w:val=""/>
      <w:lvlJc w:val="left"/>
      <w:pPr>
        <w:ind w:left="10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2" w15:restartNumberingAfterBreak="0">
    <w:nsid w:val="6A272ACE"/>
    <w:multiLevelType w:val="hybridMultilevel"/>
    <w:tmpl w:val="D29A1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83C8F"/>
    <w:multiLevelType w:val="hybridMultilevel"/>
    <w:tmpl w:val="F8CC310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D5C7C21"/>
    <w:multiLevelType w:val="hybridMultilevel"/>
    <w:tmpl w:val="B4C689EC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7FA83210"/>
    <w:multiLevelType w:val="hybridMultilevel"/>
    <w:tmpl w:val="888E3E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8"/>
  </w:num>
  <w:num w:numId="5">
    <w:abstractNumId w:val="13"/>
  </w:num>
  <w:num w:numId="6">
    <w:abstractNumId w:val="3"/>
  </w:num>
  <w:num w:numId="7">
    <w:abstractNumId w:val="12"/>
  </w:num>
  <w:num w:numId="8">
    <w:abstractNumId w:val="9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  <w:num w:numId="13">
    <w:abstractNumId w:val="14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2C00"/>
    <w:rsid w:val="0000119C"/>
    <w:rsid w:val="00003629"/>
    <w:rsid w:val="00005689"/>
    <w:rsid w:val="00010826"/>
    <w:rsid w:val="00015AE7"/>
    <w:rsid w:val="00021E36"/>
    <w:rsid w:val="00022799"/>
    <w:rsid w:val="000243C0"/>
    <w:rsid w:val="0003693A"/>
    <w:rsid w:val="00040AD2"/>
    <w:rsid w:val="00041EF6"/>
    <w:rsid w:val="000420DC"/>
    <w:rsid w:val="00044AEF"/>
    <w:rsid w:val="000506ED"/>
    <w:rsid w:val="00052198"/>
    <w:rsid w:val="00057F30"/>
    <w:rsid w:val="00061675"/>
    <w:rsid w:val="0006665D"/>
    <w:rsid w:val="000702BD"/>
    <w:rsid w:val="000742A0"/>
    <w:rsid w:val="0007585A"/>
    <w:rsid w:val="00075B2C"/>
    <w:rsid w:val="00086081"/>
    <w:rsid w:val="00090662"/>
    <w:rsid w:val="00095C7F"/>
    <w:rsid w:val="000A0471"/>
    <w:rsid w:val="000A10B4"/>
    <w:rsid w:val="000B288B"/>
    <w:rsid w:val="000B2FA1"/>
    <w:rsid w:val="000B52EE"/>
    <w:rsid w:val="000B5AA2"/>
    <w:rsid w:val="000C0CAC"/>
    <w:rsid w:val="000C51FD"/>
    <w:rsid w:val="000C6569"/>
    <w:rsid w:val="000D32B8"/>
    <w:rsid w:val="000D3B28"/>
    <w:rsid w:val="000D4954"/>
    <w:rsid w:val="000D6D6A"/>
    <w:rsid w:val="000D78DB"/>
    <w:rsid w:val="000D7E2A"/>
    <w:rsid w:val="000E12FD"/>
    <w:rsid w:val="000E3479"/>
    <w:rsid w:val="000F1823"/>
    <w:rsid w:val="000F6BB3"/>
    <w:rsid w:val="00106870"/>
    <w:rsid w:val="0011289A"/>
    <w:rsid w:val="00117194"/>
    <w:rsid w:val="00131778"/>
    <w:rsid w:val="00132A0F"/>
    <w:rsid w:val="001362A8"/>
    <w:rsid w:val="00140036"/>
    <w:rsid w:val="00152A95"/>
    <w:rsid w:val="001534FA"/>
    <w:rsid w:val="00154AFF"/>
    <w:rsid w:val="00155852"/>
    <w:rsid w:val="00161AD1"/>
    <w:rsid w:val="00162C25"/>
    <w:rsid w:val="00173639"/>
    <w:rsid w:val="00173EA4"/>
    <w:rsid w:val="001748A7"/>
    <w:rsid w:val="00175E5F"/>
    <w:rsid w:val="0018092A"/>
    <w:rsid w:val="00184190"/>
    <w:rsid w:val="00192C72"/>
    <w:rsid w:val="001A168B"/>
    <w:rsid w:val="001A5B42"/>
    <w:rsid w:val="001B1381"/>
    <w:rsid w:val="001B1FC2"/>
    <w:rsid w:val="001B2FFB"/>
    <w:rsid w:val="001B3002"/>
    <w:rsid w:val="001B6F40"/>
    <w:rsid w:val="001C1D33"/>
    <w:rsid w:val="001C48A5"/>
    <w:rsid w:val="001C5A14"/>
    <w:rsid w:val="001D02F9"/>
    <w:rsid w:val="001D097F"/>
    <w:rsid w:val="001D3C58"/>
    <w:rsid w:val="001D6062"/>
    <w:rsid w:val="001D748C"/>
    <w:rsid w:val="001E3A41"/>
    <w:rsid w:val="001F62AE"/>
    <w:rsid w:val="002055B2"/>
    <w:rsid w:val="002068DA"/>
    <w:rsid w:val="002115B2"/>
    <w:rsid w:val="00215245"/>
    <w:rsid w:val="0022114F"/>
    <w:rsid w:val="00222CB3"/>
    <w:rsid w:val="0022755B"/>
    <w:rsid w:val="002276F2"/>
    <w:rsid w:val="002279BF"/>
    <w:rsid w:val="002302D6"/>
    <w:rsid w:val="00233A2D"/>
    <w:rsid w:val="00235865"/>
    <w:rsid w:val="00243B2B"/>
    <w:rsid w:val="00246931"/>
    <w:rsid w:val="00265D59"/>
    <w:rsid w:val="002668FB"/>
    <w:rsid w:val="00267F3D"/>
    <w:rsid w:val="00273105"/>
    <w:rsid w:val="0027446E"/>
    <w:rsid w:val="00274DE3"/>
    <w:rsid w:val="00281E41"/>
    <w:rsid w:val="002826E8"/>
    <w:rsid w:val="00282E39"/>
    <w:rsid w:val="002844B1"/>
    <w:rsid w:val="002928A8"/>
    <w:rsid w:val="002B3F5F"/>
    <w:rsid w:val="002B5E5A"/>
    <w:rsid w:val="002C2920"/>
    <w:rsid w:val="002C30AC"/>
    <w:rsid w:val="002E183D"/>
    <w:rsid w:val="002E65FA"/>
    <w:rsid w:val="002F085F"/>
    <w:rsid w:val="002F0DC8"/>
    <w:rsid w:val="00307AF4"/>
    <w:rsid w:val="0031334A"/>
    <w:rsid w:val="00314CF1"/>
    <w:rsid w:val="003171ED"/>
    <w:rsid w:val="00320AD3"/>
    <w:rsid w:val="00320C31"/>
    <w:rsid w:val="00324A06"/>
    <w:rsid w:val="00327BB4"/>
    <w:rsid w:val="00330180"/>
    <w:rsid w:val="00333150"/>
    <w:rsid w:val="00336D63"/>
    <w:rsid w:val="0033741D"/>
    <w:rsid w:val="00342F6F"/>
    <w:rsid w:val="00350A36"/>
    <w:rsid w:val="00351D72"/>
    <w:rsid w:val="00361E92"/>
    <w:rsid w:val="00365F14"/>
    <w:rsid w:val="0036719C"/>
    <w:rsid w:val="00367F68"/>
    <w:rsid w:val="0037239B"/>
    <w:rsid w:val="00372961"/>
    <w:rsid w:val="00372AD6"/>
    <w:rsid w:val="003770A3"/>
    <w:rsid w:val="00377893"/>
    <w:rsid w:val="00382E24"/>
    <w:rsid w:val="00385210"/>
    <w:rsid w:val="00387147"/>
    <w:rsid w:val="0039066B"/>
    <w:rsid w:val="0039638D"/>
    <w:rsid w:val="003A27BE"/>
    <w:rsid w:val="003A38DD"/>
    <w:rsid w:val="003A6E91"/>
    <w:rsid w:val="003B0227"/>
    <w:rsid w:val="003B26A9"/>
    <w:rsid w:val="003B43C0"/>
    <w:rsid w:val="003C2EF8"/>
    <w:rsid w:val="003C7336"/>
    <w:rsid w:val="003D3F51"/>
    <w:rsid w:val="003D7A64"/>
    <w:rsid w:val="003E3F11"/>
    <w:rsid w:val="003E4096"/>
    <w:rsid w:val="003F2E1C"/>
    <w:rsid w:val="003F3E29"/>
    <w:rsid w:val="003F57A8"/>
    <w:rsid w:val="003F64F4"/>
    <w:rsid w:val="0040159E"/>
    <w:rsid w:val="00410F1E"/>
    <w:rsid w:val="00416219"/>
    <w:rsid w:val="0042256D"/>
    <w:rsid w:val="004227A5"/>
    <w:rsid w:val="004269A5"/>
    <w:rsid w:val="00431BA8"/>
    <w:rsid w:val="0043279C"/>
    <w:rsid w:val="00433317"/>
    <w:rsid w:val="004337C2"/>
    <w:rsid w:val="004423E4"/>
    <w:rsid w:val="00445C54"/>
    <w:rsid w:val="00451CEB"/>
    <w:rsid w:val="00453812"/>
    <w:rsid w:val="00457317"/>
    <w:rsid w:val="00471007"/>
    <w:rsid w:val="004717DC"/>
    <w:rsid w:val="00474D57"/>
    <w:rsid w:val="00480897"/>
    <w:rsid w:val="004848B3"/>
    <w:rsid w:val="0049042B"/>
    <w:rsid w:val="004A34A9"/>
    <w:rsid w:val="004A6E84"/>
    <w:rsid w:val="004B007C"/>
    <w:rsid w:val="004B1D34"/>
    <w:rsid w:val="004B2815"/>
    <w:rsid w:val="004B2DF7"/>
    <w:rsid w:val="004B540F"/>
    <w:rsid w:val="004C504D"/>
    <w:rsid w:val="004C562B"/>
    <w:rsid w:val="004D1721"/>
    <w:rsid w:val="004D72E3"/>
    <w:rsid w:val="004E21AF"/>
    <w:rsid w:val="004E3EC1"/>
    <w:rsid w:val="004E72C7"/>
    <w:rsid w:val="004F32DB"/>
    <w:rsid w:val="004F6C46"/>
    <w:rsid w:val="00503A21"/>
    <w:rsid w:val="0050665D"/>
    <w:rsid w:val="005105C0"/>
    <w:rsid w:val="0052032C"/>
    <w:rsid w:val="00521A0B"/>
    <w:rsid w:val="00523BC2"/>
    <w:rsid w:val="00525A5C"/>
    <w:rsid w:val="00531511"/>
    <w:rsid w:val="00532CA3"/>
    <w:rsid w:val="00540DB3"/>
    <w:rsid w:val="0055201D"/>
    <w:rsid w:val="00552395"/>
    <w:rsid w:val="00560CB7"/>
    <w:rsid w:val="00562907"/>
    <w:rsid w:val="00565F4A"/>
    <w:rsid w:val="00574213"/>
    <w:rsid w:val="00574CAA"/>
    <w:rsid w:val="00576164"/>
    <w:rsid w:val="005814F6"/>
    <w:rsid w:val="00584B87"/>
    <w:rsid w:val="00585171"/>
    <w:rsid w:val="00587F07"/>
    <w:rsid w:val="00592462"/>
    <w:rsid w:val="00596668"/>
    <w:rsid w:val="005A40EE"/>
    <w:rsid w:val="005A64C9"/>
    <w:rsid w:val="005C4219"/>
    <w:rsid w:val="005C4816"/>
    <w:rsid w:val="005C6C2F"/>
    <w:rsid w:val="005C784E"/>
    <w:rsid w:val="005D2E69"/>
    <w:rsid w:val="005D56EA"/>
    <w:rsid w:val="005E366E"/>
    <w:rsid w:val="005E4300"/>
    <w:rsid w:val="005F1A36"/>
    <w:rsid w:val="005F3E98"/>
    <w:rsid w:val="00607074"/>
    <w:rsid w:val="00615A69"/>
    <w:rsid w:val="006172DC"/>
    <w:rsid w:val="00624FD9"/>
    <w:rsid w:val="00631813"/>
    <w:rsid w:val="00631A3A"/>
    <w:rsid w:val="00633F9A"/>
    <w:rsid w:val="006352D1"/>
    <w:rsid w:val="00635DE7"/>
    <w:rsid w:val="00640DB4"/>
    <w:rsid w:val="0064533E"/>
    <w:rsid w:val="00653763"/>
    <w:rsid w:val="00660966"/>
    <w:rsid w:val="00676839"/>
    <w:rsid w:val="00677825"/>
    <w:rsid w:val="00677C7D"/>
    <w:rsid w:val="00685D59"/>
    <w:rsid w:val="00690157"/>
    <w:rsid w:val="006907E4"/>
    <w:rsid w:val="00693E8C"/>
    <w:rsid w:val="006945C4"/>
    <w:rsid w:val="00696139"/>
    <w:rsid w:val="00696A26"/>
    <w:rsid w:val="00697F94"/>
    <w:rsid w:val="006A23C6"/>
    <w:rsid w:val="006A7456"/>
    <w:rsid w:val="006A74AF"/>
    <w:rsid w:val="006B059F"/>
    <w:rsid w:val="006B5055"/>
    <w:rsid w:val="006C22AE"/>
    <w:rsid w:val="006C245C"/>
    <w:rsid w:val="006C6800"/>
    <w:rsid w:val="006C681D"/>
    <w:rsid w:val="006E1784"/>
    <w:rsid w:val="006E58BA"/>
    <w:rsid w:val="006F2B16"/>
    <w:rsid w:val="006F7990"/>
    <w:rsid w:val="00703D3B"/>
    <w:rsid w:val="00705284"/>
    <w:rsid w:val="00711B99"/>
    <w:rsid w:val="007133CD"/>
    <w:rsid w:val="007265D6"/>
    <w:rsid w:val="00731C35"/>
    <w:rsid w:val="0073263A"/>
    <w:rsid w:val="0073376F"/>
    <w:rsid w:val="00751434"/>
    <w:rsid w:val="007527C9"/>
    <w:rsid w:val="00754C75"/>
    <w:rsid w:val="00760682"/>
    <w:rsid w:val="00762C6E"/>
    <w:rsid w:val="007656FB"/>
    <w:rsid w:val="007746CF"/>
    <w:rsid w:val="007779E3"/>
    <w:rsid w:val="00777CD0"/>
    <w:rsid w:val="007806D7"/>
    <w:rsid w:val="0078095E"/>
    <w:rsid w:val="00782D56"/>
    <w:rsid w:val="00782EB4"/>
    <w:rsid w:val="00784928"/>
    <w:rsid w:val="00784ED7"/>
    <w:rsid w:val="00786E7F"/>
    <w:rsid w:val="00790306"/>
    <w:rsid w:val="007942E1"/>
    <w:rsid w:val="00797DD0"/>
    <w:rsid w:val="007A0BA4"/>
    <w:rsid w:val="007A0F07"/>
    <w:rsid w:val="007A6476"/>
    <w:rsid w:val="007B646B"/>
    <w:rsid w:val="007B7380"/>
    <w:rsid w:val="007C4EDE"/>
    <w:rsid w:val="007C71BF"/>
    <w:rsid w:val="007C7443"/>
    <w:rsid w:val="007D5D58"/>
    <w:rsid w:val="007D7548"/>
    <w:rsid w:val="007E068B"/>
    <w:rsid w:val="007E74AF"/>
    <w:rsid w:val="007F101B"/>
    <w:rsid w:val="007F14F0"/>
    <w:rsid w:val="007F2B8E"/>
    <w:rsid w:val="007F3E7F"/>
    <w:rsid w:val="00800E67"/>
    <w:rsid w:val="00807BD0"/>
    <w:rsid w:val="00810914"/>
    <w:rsid w:val="00813D46"/>
    <w:rsid w:val="00820A08"/>
    <w:rsid w:val="008270A6"/>
    <w:rsid w:val="008318F0"/>
    <w:rsid w:val="00847B2B"/>
    <w:rsid w:val="00861CFC"/>
    <w:rsid w:val="0086700F"/>
    <w:rsid w:val="008709EC"/>
    <w:rsid w:val="008722D7"/>
    <w:rsid w:val="0087245C"/>
    <w:rsid w:val="008733AD"/>
    <w:rsid w:val="00873726"/>
    <w:rsid w:val="0087592D"/>
    <w:rsid w:val="00886FF9"/>
    <w:rsid w:val="00894C6A"/>
    <w:rsid w:val="00895EEB"/>
    <w:rsid w:val="008A197E"/>
    <w:rsid w:val="008A3C14"/>
    <w:rsid w:val="008B02FF"/>
    <w:rsid w:val="008B1B1C"/>
    <w:rsid w:val="008B3841"/>
    <w:rsid w:val="008C10EB"/>
    <w:rsid w:val="008C1291"/>
    <w:rsid w:val="008C4DB9"/>
    <w:rsid w:val="008C67E3"/>
    <w:rsid w:val="008E1CFB"/>
    <w:rsid w:val="008E248A"/>
    <w:rsid w:val="008E579B"/>
    <w:rsid w:val="008E6A0D"/>
    <w:rsid w:val="008F16FE"/>
    <w:rsid w:val="008F335E"/>
    <w:rsid w:val="008F6033"/>
    <w:rsid w:val="008F6E57"/>
    <w:rsid w:val="008F75BB"/>
    <w:rsid w:val="009026B7"/>
    <w:rsid w:val="00905101"/>
    <w:rsid w:val="00924206"/>
    <w:rsid w:val="0092659D"/>
    <w:rsid w:val="00931D47"/>
    <w:rsid w:val="009322BA"/>
    <w:rsid w:val="00935D8F"/>
    <w:rsid w:val="00936478"/>
    <w:rsid w:val="00937966"/>
    <w:rsid w:val="009409CC"/>
    <w:rsid w:val="009414F4"/>
    <w:rsid w:val="0094173C"/>
    <w:rsid w:val="00944864"/>
    <w:rsid w:val="00947C60"/>
    <w:rsid w:val="00947EF8"/>
    <w:rsid w:val="00962483"/>
    <w:rsid w:val="00973A1B"/>
    <w:rsid w:val="0097652B"/>
    <w:rsid w:val="009766E8"/>
    <w:rsid w:val="00976DC5"/>
    <w:rsid w:val="00980CE8"/>
    <w:rsid w:val="009839CA"/>
    <w:rsid w:val="009841CB"/>
    <w:rsid w:val="009879E1"/>
    <w:rsid w:val="00990104"/>
    <w:rsid w:val="00991050"/>
    <w:rsid w:val="00997A4A"/>
    <w:rsid w:val="009A0A07"/>
    <w:rsid w:val="009A0D0A"/>
    <w:rsid w:val="009C29D8"/>
    <w:rsid w:val="009C4AA2"/>
    <w:rsid w:val="009C501B"/>
    <w:rsid w:val="009C78E6"/>
    <w:rsid w:val="009D044A"/>
    <w:rsid w:val="009D2F8E"/>
    <w:rsid w:val="009D772D"/>
    <w:rsid w:val="009E506C"/>
    <w:rsid w:val="009E59CB"/>
    <w:rsid w:val="009F2160"/>
    <w:rsid w:val="00A0293A"/>
    <w:rsid w:val="00A046CD"/>
    <w:rsid w:val="00A1060E"/>
    <w:rsid w:val="00A12C59"/>
    <w:rsid w:val="00A14E2B"/>
    <w:rsid w:val="00A230F8"/>
    <w:rsid w:val="00A27165"/>
    <w:rsid w:val="00A300AE"/>
    <w:rsid w:val="00A3092B"/>
    <w:rsid w:val="00A30ABE"/>
    <w:rsid w:val="00A378A7"/>
    <w:rsid w:val="00A41CA4"/>
    <w:rsid w:val="00A43B9B"/>
    <w:rsid w:val="00A47A32"/>
    <w:rsid w:val="00A50E2E"/>
    <w:rsid w:val="00A522C8"/>
    <w:rsid w:val="00A63592"/>
    <w:rsid w:val="00A63850"/>
    <w:rsid w:val="00A67614"/>
    <w:rsid w:val="00A74855"/>
    <w:rsid w:val="00A75F01"/>
    <w:rsid w:val="00A81FBA"/>
    <w:rsid w:val="00A84D6D"/>
    <w:rsid w:val="00A901A7"/>
    <w:rsid w:val="00A924BD"/>
    <w:rsid w:val="00A94218"/>
    <w:rsid w:val="00AA1D4B"/>
    <w:rsid w:val="00AA6983"/>
    <w:rsid w:val="00AA7840"/>
    <w:rsid w:val="00AB6884"/>
    <w:rsid w:val="00AB6BC2"/>
    <w:rsid w:val="00AC039C"/>
    <w:rsid w:val="00AC123B"/>
    <w:rsid w:val="00AC48D2"/>
    <w:rsid w:val="00AD126C"/>
    <w:rsid w:val="00AD2DCB"/>
    <w:rsid w:val="00AD3369"/>
    <w:rsid w:val="00AD33D3"/>
    <w:rsid w:val="00AD3DE5"/>
    <w:rsid w:val="00AD75B7"/>
    <w:rsid w:val="00AE1C92"/>
    <w:rsid w:val="00AE2C00"/>
    <w:rsid w:val="00AE4487"/>
    <w:rsid w:val="00AF0077"/>
    <w:rsid w:val="00AF2D21"/>
    <w:rsid w:val="00AF38C9"/>
    <w:rsid w:val="00B00B0A"/>
    <w:rsid w:val="00B01C4D"/>
    <w:rsid w:val="00B035D1"/>
    <w:rsid w:val="00B045DF"/>
    <w:rsid w:val="00B056A4"/>
    <w:rsid w:val="00B15551"/>
    <w:rsid w:val="00B2075C"/>
    <w:rsid w:val="00B21464"/>
    <w:rsid w:val="00B3152D"/>
    <w:rsid w:val="00B32423"/>
    <w:rsid w:val="00B33575"/>
    <w:rsid w:val="00B449CD"/>
    <w:rsid w:val="00B5162D"/>
    <w:rsid w:val="00B55232"/>
    <w:rsid w:val="00B5733B"/>
    <w:rsid w:val="00B60FC0"/>
    <w:rsid w:val="00B6115F"/>
    <w:rsid w:val="00B65680"/>
    <w:rsid w:val="00B71E72"/>
    <w:rsid w:val="00B74948"/>
    <w:rsid w:val="00B767C9"/>
    <w:rsid w:val="00B76892"/>
    <w:rsid w:val="00B80D8D"/>
    <w:rsid w:val="00B85D5D"/>
    <w:rsid w:val="00B860C5"/>
    <w:rsid w:val="00B86E11"/>
    <w:rsid w:val="00B9010C"/>
    <w:rsid w:val="00B94895"/>
    <w:rsid w:val="00BA0FC1"/>
    <w:rsid w:val="00BA4506"/>
    <w:rsid w:val="00BA6B55"/>
    <w:rsid w:val="00BB028A"/>
    <w:rsid w:val="00BB0895"/>
    <w:rsid w:val="00BB487F"/>
    <w:rsid w:val="00BC0F5C"/>
    <w:rsid w:val="00BC188C"/>
    <w:rsid w:val="00BC24B8"/>
    <w:rsid w:val="00BC5358"/>
    <w:rsid w:val="00BC6492"/>
    <w:rsid w:val="00BD4115"/>
    <w:rsid w:val="00BE2F30"/>
    <w:rsid w:val="00BE4297"/>
    <w:rsid w:val="00BF04D5"/>
    <w:rsid w:val="00BF0D13"/>
    <w:rsid w:val="00BF1623"/>
    <w:rsid w:val="00BF2A7D"/>
    <w:rsid w:val="00BF3DEF"/>
    <w:rsid w:val="00BF5EDB"/>
    <w:rsid w:val="00C05266"/>
    <w:rsid w:val="00C064BE"/>
    <w:rsid w:val="00C073A6"/>
    <w:rsid w:val="00C12367"/>
    <w:rsid w:val="00C16DBF"/>
    <w:rsid w:val="00C27C54"/>
    <w:rsid w:val="00C30A87"/>
    <w:rsid w:val="00C32879"/>
    <w:rsid w:val="00C40AC5"/>
    <w:rsid w:val="00C433E2"/>
    <w:rsid w:val="00C5039A"/>
    <w:rsid w:val="00C532B6"/>
    <w:rsid w:val="00C62D65"/>
    <w:rsid w:val="00C77A87"/>
    <w:rsid w:val="00C92B60"/>
    <w:rsid w:val="00CA107F"/>
    <w:rsid w:val="00CA176E"/>
    <w:rsid w:val="00CB6E02"/>
    <w:rsid w:val="00CC1547"/>
    <w:rsid w:val="00CC1BF2"/>
    <w:rsid w:val="00CC3C07"/>
    <w:rsid w:val="00CC4910"/>
    <w:rsid w:val="00CD6430"/>
    <w:rsid w:val="00CD6916"/>
    <w:rsid w:val="00CE2527"/>
    <w:rsid w:val="00CE5661"/>
    <w:rsid w:val="00CF02DE"/>
    <w:rsid w:val="00CF0EC5"/>
    <w:rsid w:val="00CF5B02"/>
    <w:rsid w:val="00CF72A8"/>
    <w:rsid w:val="00D01C49"/>
    <w:rsid w:val="00D0521B"/>
    <w:rsid w:val="00D06C23"/>
    <w:rsid w:val="00D116CA"/>
    <w:rsid w:val="00D117ED"/>
    <w:rsid w:val="00D1489B"/>
    <w:rsid w:val="00D14A8F"/>
    <w:rsid w:val="00D1543E"/>
    <w:rsid w:val="00D17557"/>
    <w:rsid w:val="00D21D97"/>
    <w:rsid w:val="00D35CF0"/>
    <w:rsid w:val="00D3719D"/>
    <w:rsid w:val="00D37756"/>
    <w:rsid w:val="00D41D7D"/>
    <w:rsid w:val="00D443FD"/>
    <w:rsid w:val="00D456A5"/>
    <w:rsid w:val="00D458C4"/>
    <w:rsid w:val="00D52804"/>
    <w:rsid w:val="00D52B22"/>
    <w:rsid w:val="00D57583"/>
    <w:rsid w:val="00D647E4"/>
    <w:rsid w:val="00D660D0"/>
    <w:rsid w:val="00D71829"/>
    <w:rsid w:val="00D77EDE"/>
    <w:rsid w:val="00D8136C"/>
    <w:rsid w:val="00D81F98"/>
    <w:rsid w:val="00D8285D"/>
    <w:rsid w:val="00D90572"/>
    <w:rsid w:val="00D91920"/>
    <w:rsid w:val="00D97699"/>
    <w:rsid w:val="00DA201B"/>
    <w:rsid w:val="00DA31CC"/>
    <w:rsid w:val="00DA50D2"/>
    <w:rsid w:val="00DA579E"/>
    <w:rsid w:val="00DA7D71"/>
    <w:rsid w:val="00DB04EF"/>
    <w:rsid w:val="00DB326A"/>
    <w:rsid w:val="00DC033C"/>
    <w:rsid w:val="00DC0514"/>
    <w:rsid w:val="00DC6002"/>
    <w:rsid w:val="00DD02E0"/>
    <w:rsid w:val="00DE0263"/>
    <w:rsid w:val="00DE1D3A"/>
    <w:rsid w:val="00DE5CCF"/>
    <w:rsid w:val="00DF06AA"/>
    <w:rsid w:val="00DF13C8"/>
    <w:rsid w:val="00DF2411"/>
    <w:rsid w:val="00DF273D"/>
    <w:rsid w:val="00E042FA"/>
    <w:rsid w:val="00E05C28"/>
    <w:rsid w:val="00E10765"/>
    <w:rsid w:val="00E2436E"/>
    <w:rsid w:val="00E30F69"/>
    <w:rsid w:val="00E312EB"/>
    <w:rsid w:val="00E36E08"/>
    <w:rsid w:val="00E42187"/>
    <w:rsid w:val="00E5181D"/>
    <w:rsid w:val="00E60CCF"/>
    <w:rsid w:val="00E71A31"/>
    <w:rsid w:val="00E74A2F"/>
    <w:rsid w:val="00E75C83"/>
    <w:rsid w:val="00E77415"/>
    <w:rsid w:val="00E81634"/>
    <w:rsid w:val="00E82BAF"/>
    <w:rsid w:val="00E95747"/>
    <w:rsid w:val="00E95976"/>
    <w:rsid w:val="00E967DA"/>
    <w:rsid w:val="00EA27D0"/>
    <w:rsid w:val="00EA2E9C"/>
    <w:rsid w:val="00EA49D8"/>
    <w:rsid w:val="00EA55CE"/>
    <w:rsid w:val="00EA5B6E"/>
    <w:rsid w:val="00EA5C38"/>
    <w:rsid w:val="00EB0E5E"/>
    <w:rsid w:val="00EB3825"/>
    <w:rsid w:val="00EC432F"/>
    <w:rsid w:val="00EC4CFB"/>
    <w:rsid w:val="00EC4D7A"/>
    <w:rsid w:val="00ED2FBE"/>
    <w:rsid w:val="00ED6FD2"/>
    <w:rsid w:val="00EE293F"/>
    <w:rsid w:val="00EE6284"/>
    <w:rsid w:val="00EE7017"/>
    <w:rsid w:val="00EF3F7A"/>
    <w:rsid w:val="00EF5F6F"/>
    <w:rsid w:val="00EF7EBB"/>
    <w:rsid w:val="00F02010"/>
    <w:rsid w:val="00F04DCA"/>
    <w:rsid w:val="00F06C5B"/>
    <w:rsid w:val="00F24BCD"/>
    <w:rsid w:val="00F26A6B"/>
    <w:rsid w:val="00F3218D"/>
    <w:rsid w:val="00F3706C"/>
    <w:rsid w:val="00F44019"/>
    <w:rsid w:val="00F46E8C"/>
    <w:rsid w:val="00F475E9"/>
    <w:rsid w:val="00F54AE8"/>
    <w:rsid w:val="00F5700E"/>
    <w:rsid w:val="00F60C77"/>
    <w:rsid w:val="00F6363D"/>
    <w:rsid w:val="00F64833"/>
    <w:rsid w:val="00F73114"/>
    <w:rsid w:val="00F74C6E"/>
    <w:rsid w:val="00F767E3"/>
    <w:rsid w:val="00F773CA"/>
    <w:rsid w:val="00F80C8A"/>
    <w:rsid w:val="00F81428"/>
    <w:rsid w:val="00F843A4"/>
    <w:rsid w:val="00F85410"/>
    <w:rsid w:val="00F8616B"/>
    <w:rsid w:val="00F874FD"/>
    <w:rsid w:val="00F87E5F"/>
    <w:rsid w:val="00F91B1E"/>
    <w:rsid w:val="00F95031"/>
    <w:rsid w:val="00F97050"/>
    <w:rsid w:val="00FB49D2"/>
    <w:rsid w:val="00FB5A59"/>
    <w:rsid w:val="00FB781D"/>
    <w:rsid w:val="00FC2D26"/>
    <w:rsid w:val="00FC4674"/>
    <w:rsid w:val="00FC5EBD"/>
    <w:rsid w:val="00FC6D65"/>
    <w:rsid w:val="00FE1222"/>
    <w:rsid w:val="00FE25AB"/>
    <w:rsid w:val="00FF0459"/>
    <w:rsid w:val="00FF08D8"/>
    <w:rsid w:val="00FF4CA3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C98E"/>
  <w15:chartTrackingRefBased/>
  <w15:docId w15:val="{F20B353D-DE41-469B-B515-BF6E3D4D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F26A6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A1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E293F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EE2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sawicki@uni.opol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241F5-35F8-4AE3-B5E2-7EC9B738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sylabusa UG</vt:lpstr>
    </vt:vector>
  </TitlesOfParts>
  <Company>ug</Company>
  <LinksUpToDate>false</LinksUpToDate>
  <CharactersWithSpaces>8555</CharactersWithSpaces>
  <SharedDoc>false</SharedDoc>
  <HLinks>
    <vt:vector size="6" baseType="variant">
      <vt:variant>
        <vt:i4>3276877</vt:i4>
      </vt:variant>
      <vt:variant>
        <vt:i4>0</vt:i4>
      </vt:variant>
      <vt:variant>
        <vt:i4>0</vt:i4>
      </vt:variant>
      <vt:variant>
        <vt:i4>5</vt:i4>
      </vt:variant>
      <vt:variant>
        <vt:lpwstr>mailto:msawicki@uni.opole.pl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sylabusa UG</dc:title>
  <dc:subject>dostosowanie do KRK</dc:subject>
  <dc:creator>grażyna szyling</dc:creator>
  <cp:keywords/>
  <cp:lastModifiedBy>Mariusz Sawicki</cp:lastModifiedBy>
  <cp:revision>3</cp:revision>
  <cp:lastPrinted>2012-01-05T09:07:00Z</cp:lastPrinted>
  <dcterms:created xsi:type="dcterms:W3CDTF">2020-04-23T16:35:00Z</dcterms:created>
  <dcterms:modified xsi:type="dcterms:W3CDTF">2020-04-23T17:32:00Z</dcterms:modified>
</cp:coreProperties>
</file>