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A46" w:rsidRPr="00F65D3A" w:rsidRDefault="00507A46" w:rsidP="00507A46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Biurko B</w:t>
      </w:r>
      <w:r w:rsidR="0001532A">
        <w:rPr>
          <w:rFonts w:ascii="Tahoma" w:hAnsi="Tahoma" w:cs="Tahoma"/>
          <w:b/>
          <w:sz w:val="18"/>
          <w:szCs w:val="18"/>
        </w:rPr>
        <w:t>4</w:t>
      </w:r>
      <w:r w:rsidRPr="00F65D3A">
        <w:rPr>
          <w:rFonts w:ascii="Tahoma" w:hAnsi="Tahoma" w:cs="Tahoma"/>
          <w:b/>
          <w:sz w:val="18"/>
          <w:szCs w:val="18"/>
        </w:rPr>
        <w:t xml:space="preserve"> - na czterech nogach okrągłych </w:t>
      </w:r>
    </w:p>
    <w:p w:rsidR="00377152" w:rsidRDefault="00377152" w:rsidP="00507A46">
      <w:pPr>
        <w:rPr>
          <w:rFonts w:ascii="Tahoma" w:hAnsi="Tahoma" w:cs="Tahoma"/>
          <w:sz w:val="18"/>
          <w:szCs w:val="18"/>
        </w:rPr>
      </w:pPr>
    </w:p>
    <w:p w:rsidR="00507A46" w:rsidRDefault="00507A46" w:rsidP="00507A46">
      <w:pPr>
        <w:rPr>
          <w:rFonts w:ascii="Tahoma" w:hAnsi="Tahoma" w:cs="Tahoma"/>
          <w:sz w:val="18"/>
          <w:szCs w:val="18"/>
        </w:rPr>
      </w:pPr>
      <w:r w:rsidRPr="00C33E13">
        <w:rPr>
          <w:rFonts w:ascii="Tahoma" w:hAnsi="Tahoma" w:cs="Tahoma"/>
          <w:sz w:val="18"/>
          <w:szCs w:val="18"/>
        </w:rPr>
        <w:t xml:space="preserve">Biurko prostokątne ramowe o wymiarach szer. </w:t>
      </w:r>
      <w:r w:rsidR="0001532A">
        <w:rPr>
          <w:rFonts w:ascii="Tahoma" w:hAnsi="Tahoma" w:cs="Tahoma"/>
          <w:sz w:val="18"/>
          <w:szCs w:val="18"/>
        </w:rPr>
        <w:t>16</w:t>
      </w:r>
      <w:r>
        <w:rPr>
          <w:rFonts w:ascii="Tahoma" w:hAnsi="Tahoma" w:cs="Tahoma"/>
          <w:sz w:val="18"/>
          <w:szCs w:val="18"/>
        </w:rPr>
        <w:t>0</w:t>
      </w:r>
      <w:r w:rsidRPr="00C33E13">
        <w:rPr>
          <w:rFonts w:ascii="Tahoma" w:hAnsi="Tahoma" w:cs="Tahoma"/>
          <w:sz w:val="18"/>
          <w:szCs w:val="18"/>
        </w:rPr>
        <w:t xml:space="preserve"> cm, gł. 80 cm, wysokość 72</w:t>
      </w:r>
      <w:r>
        <w:rPr>
          <w:rFonts w:ascii="Tahoma" w:hAnsi="Tahoma" w:cs="Tahoma"/>
          <w:sz w:val="18"/>
          <w:szCs w:val="18"/>
        </w:rPr>
        <w:t xml:space="preserve"> </w:t>
      </w:r>
      <w:r w:rsidR="00377152">
        <w:rPr>
          <w:rFonts w:ascii="Tahoma" w:hAnsi="Tahoma" w:cs="Tahoma"/>
          <w:sz w:val="18"/>
          <w:szCs w:val="18"/>
        </w:rPr>
        <w:t>cm.</w:t>
      </w:r>
      <w:bookmarkStart w:id="0" w:name="_GoBack"/>
      <w:bookmarkEnd w:id="0"/>
    </w:p>
    <w:p w:rsidR="00507A46" w:rsidRDefault="00507A46" w:rsidP="00507A46">
      <w:pPr>
        <w:rPr>
          <w:rFonts w:ascii="Tahoma" w:hAnsi="Tahoma" w:cs="Tahoma"/>
          <w:sz w:val="18"/>
          <w:szCs w:val="18"/>
        </w:rPr>
      </w:pPr>
    </w:p>
    <w:p w:rsidR="00377152" w:rsidRDefault="00377152" w:rsidP="00377152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Blat wykonany z płyty obustronnie laminowanej o klasie higieniczności E1,  grubości 25 mm, oklejonej obrzeżem ABS grubości 2 mm, w kolorze blatu. Stelaż biurka malowany proszkowo na kolor RAL 9006. Nogi okrągłe o przekroju fi 50 mm, posiadają stopki umożliwiające poziomowanie biurka w zakresie +15 mm. Rama o przekroju 40x20 mm, mocowana fabrycznie do blatu, na całym jego obrysie w odległości 3 cm od krańca blatu, nie spawana. Nogi montowane do ramy za pomocą trójkątnych łączników metalowych, odlewanych, umożliwiających łatwy demontaż montaż biurka. W miejscu mocowania do ramy połowa przekroju nogi przetłoczona na kształt kwadratu.</w:t>
      </w:r>
    </w:p>
    <w:p w:rsidR="00377152" w:rsidRDefault="00377152" w:rsidP="00377152">
      <w:pPr>
        <w:jc w:val="both"/>
        <w:rPr>
          <w:rFonts w:ascii="Tahoma" w:hAnsi="Tahoma" w:cs="Tahoma"/>
          <w:sz w:val="18"/>
          <w:szCs w:val="18"/>
        </w:rPr>
      </w:pPr>
    </w:p>
    <w:p w:rsidR="00377152" w:rsidRDefault="00377152" w:rsidP="00377152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Widok jak na zdjęciu poglądowym:</w:t>
      </w:r>
    </w:p>
    <w:p w:rsidR="00377152" w:rsidRDefault="00377152" w:rsidP="00377152">
      <w:pPr>
        <w:jc w:val="both"/>
        <w:rPr>
          <w:rFonts w:ascii="Arial" w:hAnsi="Arial" w:cs="Arial"/>
          <w:sz w:val="18"/>
          <w:szCs w:val="18"/>
        </w:rPr>
      </w:pPr>
    </w:p>
    <w:p w:rsidR="00377152" w:rsidRDefault="00377152" w:rsidP="00377152">
      <w:pPr>
        <w:jc w:val="both"/>
        <w:rPr>
          <w:sz w:val="18"/>
          <w:szCs w:val="18"/>
        </w:rPr>
      </w:pPr>
    </w:p>
    <w:p w:rsidR="00377152" w:rsidRDefault="00377152" w:rsidP="00377152">
      <w:pPr>
        <w:jc w:val="both"/>
        <w:rPr>
          <w:sz w:val="18"/>
          <w:szCs w:val="18"/>
        </w:rPr>
      </w:pPr>
    </w:p>
    <w:p w:rsidR="00377152" w:rsidRDefault="00377152" w:rsidP="00377152">
      <w:pPr>
        <w:jc w:val="both"/>
        <w:rPr>
          <w:sz w:val="18"/>
          <w:szCs w:val="18"/>
        </w:rPr>
      </w:pPr>
    </w:p>
    <w:p w:rsidR="00377152" w:rsidRDefault="00377152" w:rsidP="00377152">
      <w:pPr>
        <w:jc w:val="both"/>
        <w:rPr>
          <w:sz w:val="18"/>
          <w:szCs w:val="18"/>
        </w:rPr>
      </w:pPr>
    </w:p>
    <w:p w:rsidR="00377152" w:rsidRDefault="00377152" w:rsidP="00377152">
      <w:pPr>
        <w:jc w:val="both"/>
        <w:rPr>
          <w:sz w:val="18"/>
          <w:szCs w:val="18"/>
        </w:rPr>
      </w:pPr>
    </w:p>
    <w:p w:rsidR="00377152" w:rsidRDefault="006B1525" w:rsidP="00377152">
      <w:pPr>
        <w:jc w:val="both"/>
        <w:rPr>
          <w:sz w:val="18"/>
          <w:szCs w:val="18"/>
        </w:rPr>
      </w:pPr>
      <w:r>
        <w:rPr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-11430</wp:posOffset>
            </wp:positionH>
            <wp:positionV relativeFrom="paragraph">
              <wp:posOffset>46355</wp:posOffset>
            </wp:positionV>
            <wp:extent cx="2846705" cy="2106295"/>
            <wp:effectExtent l="1905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6705" cy="2106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77152" w:rsidRDefault="00377152" w:rsidP="00377152">
      <w:pPr>
        <w:jc w:val="both"/>
        <w:rPr>
          <w:sz w:val="18"/>
          <w:szCs w:val="18"/>
        </w:rPr>
      </w:pPr>
    </w:p>
    <w:p w:rsidR="00377152" w:rsidRDefault="00377152" w:rsidP="00377152">
      <w:pPr>
        <w:jc w:val="both"/>
        <w:rPr>
          <w:sz w:val="18"/>
          <w:szCs w:val="18"/>
        </w:rPr>
      </w:pPr>
    </w:p>
    <w:p w:rsidR="00377152" w:rsidRDefault="00377152" w:rsidP="00377152">
      <w:pPr>
        <w:jc w:val="both"/>
        <w:rPr>
          <w:rFonts w:ascii="Tahoma" w:hAnsi="Tahoma" w:cs="Tahoma"/>
          <w:sz w:val="18"/>
          <w:szCs w:val="18"/>
        </w:rPr>
      </w:pPr>
    </w:p>
    <w:p w:rsidR="00377152" w:rsidRDefault="00377152" w:rsidP="00377152">
      <w:pPr>
        <w:jc w:val="both"/>
        <w:rPr>
          <w:rFonts w:ascii="Tahoma" w:hAnsi="Tahoma" w:cs="Tahoma"/>
          <w:sz w:val="18"/>
          <w:szCs w:val="18"/>
        </w:rPr>
      </w:pPr>
    </w:p>
    <w:p w:rsidR="006B1525" w:rsidRDefault="006B1525" w:rsidP="00377152">
      <w:pPr>
        <w:jc w:val="both"/>
        <w:rPr>
          <w:rFonts w:ascii="Tahoma" w:hAnsi="Tahoma" w:cs="Tahoma"/>
          <w:sz w:val="18"/>
          <w:szCs w:val="18"/>
        </w:rPr>
      </w:pPr>
    </w:p>
    <w:p w:rsidR="006B1525" w:rsidRDefault="006B1525" w:rsidP="00377152">
      <w:pPr>
        <w:jc w:val="both"/>
        <w:rPr>
          <w:rFonts w:ascii="Tahoma" w:hAnsi="Tahoma" w:cs="Tahoma"/>
          <w:sz w:val="18"/>
          <w:szCs w:val="18"/>
        </w:rPr>
      </w:pPr>
    </w:p>
    <w:p w:rsidR="006B1525" w:rsidRDefault="006B1525" w:rsidP="00377152">
      <w:pPr>
        <w:jc w:val="both"/>
        <w:rPr>
          <w:rFonts w:ascii="Tahoma" w:hAnsi="Tahoma" w:cs="Tahoma"/>
          <w:sz w:val="18"/>
          <w:szCs w:val="18"/>
        </w:rPr>
      </w:pPr>
    </w:p>
    <w:p w:rsidR="006B1525" w:rsidRDefault="006B1525" w:rsidP="00377152">
      <w:pPr>
        <w:jc w:val="both"/>
        <w:rPr>
          <w:rFonts w:ascii="Tahoma" w:hAnsi="Tahoma" w:cs="Tahoma"/>
          <w:sz w:val="18"/>
          <w:szCs w:val="18"/>
        </w:rPr>
      </w:pPr>
    </w:p>
    <w:p w:rsidR="006B1525" w:rsidRDefault="006B1525" w:rsidP="00377152">
      <w:pPr>
        <w:jc w:val="both"/>
        <w:rPr>
          <w:rFonts w:ascii="Tahoma" w:hAnsi="Tahoma" w:cs="Tahoma"/>
          <w:sz w:val="18"/>
          <w:szCs w:val="18"/>
        </w:rPr>
      </w:pPr>
    </w:p>
    <w:p w:rsidR="006B1525" w:rsidRDefault="006B1525" w:rsidP="00377152">
      <w:pPr>
        <w:jc w:val="both"/>
        <w:rPr>
          <w:rFonts w:ascii="Tahoma" w:hAnsi="Tahoma" w:cs="Tahoma"/>
          <w:sz w:val="18"/>
          <w:szCs w:val="18"/>
        </w:rPr>
      </w:pPr>
    </w:p>
    <w:p w:rsidR="006B1525" w:rsidRDefault="006B1525" w:rsidP="00377152">
      <w:pPr>
        <w:jc w:val="both"/>
        <w:rPr>
          <w:rFonts w:ascii="Tahoma" w:hAnsi="Tahoma" w:cs="Tahoma"/>
          <w:sz w:val="18"/>
          <w:szCs w:val="18"/>
        </w:rPr>
      </w:pPr>
    </w:p>
    <w:p w:rsidR="006B1525" w:rsidRDefault="006B1525" w:rsidP="00377152">
      <w:pPr>
        <w:jc w:val="both"/>
        <w:rPr>
          <w:rFonts w:ascii="Tahoma" w:hAnsi="Tahoma" w:cs="Tahoma"/>
          <w:sz w:val="18"/>
          <w:szCs w:val="18"/>
        </w:rPr>
      </w:pPr>
    </w:p>
    <w:p w:rsidR="006B1525" w:rsidRDefault="006B1525" w:rsidP="00377152">
      <w:pPr>
        <w:jc w:val="both"/>
        <w:rPr>
          <w:rFonts w:ascii="Tahoma" w:hAnsi="Tahoma" w:cs="Tahoma"/>
          <w:sz w:val="18"/>
          <w:szCs w:val="18"/>
        </w:rPr>
      </w:pPr>
    </w:p>
    <w:p w:rsidR="006B1525" w:rsidRDefault="006B1525" w:rsidP="00377152">
      <w:pPr>
        <w:jc w:val="both"/>
        <w:rPr>
          <w:rFonts w:ascii="Tahoma" w:hAnsi="Tahoma" w:cs="Tahoma"/>
          <w:sz w:val="18"/>
          <w:szCs w:val="18"/>
        </w:rPr>
      </w:pPr>
    </w:p>
    <w:p w:rsidR="006B1525" w:rsidRDefault="006B1525" w:rsidP="00377152">
      <w:pPr>
        <w:jc w:val="both"/>
        <w:rPr>
          <w:rFonts w:ascii="Tahoma" w:hAnsi="Tahoma" w:cs="Tahoma"/>
          <w:sz w:val="18"/>
          <w:szCs w:val="18"/>
        </w:rPr>
      </w:pPr>
    </w:p>
    <w:p w:rsidR="006B1525" w:rsidRDefault="006B1525" w:rsidP="00377152">
      <w:pPr>
        <w:jc w:val="both"/>
        <w:rPr>
          <w:rFonts w:ascii="Tahoma" w:hAnsi="Tahoma" w:cs="Tahoma"/>
          <w:sz w:val="18"/>
          <w:szCs w:val="18"/>
        </w:rPr>
      </w:pPr>
    </w:p>
    <w:p w:rsidR="006B1525" w:rsidRDefault="006B1525" w:rsidP="00377152">
      <w:pPr>
        <w:jc w:val="both"/>
        <w:rPr>
          <w:rFonts w:ascii="Tahoma" w:hAnsi="Tahoma" w:cs="Tahoma"/>
          <w:sz w:val="18"/>
          <w:szCs w:val="18"/>
        </w:rPr>
      </w:pPr>
    </w:p>
    <w:p w:rsidR="00377152" w:rsidRDefault="006B1525" w:rsidP="00377152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Mebel ma posiadać </w:t>
      </w:r>
      <w:r w:rsidRPr="00C33E13">
        <w:rPr>
          <w:rFonts w:ascii="Tahoma" w:hAnsi="Tahoma" w:cs="Tahoma"/>
          <w:sz w:val="18"/>
          <w:szCs w:val="18"/>
        </w:rPr>
        <w:t>następujące atesty</w:t>
      </w:r>
      <w:r w:rsidR="00377152">
        <w:rPr>
          <w:rFonts w:ascii="Tahoma" w:hAnsi="Tahoma" w:cs="Tahoma"/>
          <w:sz w:val="18"/>
          <w:szCs w:val="18"/>
        </w:rPr>
        <w:t>:</w:t>
      </w:r>
    </w:p>
    <w:p w:rsidR="00377152" w:rsidRDefault="00377152" w:rsidP="00377152">
      <w:pPr>
        <w:jc w:val="both"/>
        <w:rPr>
          <w:rFonts w:ascii="Tahoma" w:hAnsi="Tahoma" w:cs="Tahoma"/>
          <w:sz w:val="18"/>
          <w:szCs w:val="18"/>
        </w:rPr>
      </w:pPr>
    </w:p>
    <w:p w:rsidR="00377152" w:rsidRDefault="00377152" w:rsidP="00377152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EN  527-1:2004</w:t>
      </w:r>
      <w:r>
        <w:rPr>
          <w:rFonts w:ascii="Tahoma" w:hAnsi="Tahoma" w:cs="Tahoma"/>
          <w:sz w:val="18"/>
          <w:szCs w:val="18"/>
        </w:rPr>
        <w:t xml:space="preserve">  Meble biurowe - Stoły robocze i biurka - Część 1: Wymiary;</w:t>
      </w:r>
    </w:p>
    <w:p w:rsidR="00377152" w:rsidRDefault="00377152" w:rsidP="00377152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EN 527-2:2004 </w:t>
      </w:r>
      <w:r>
        <w:rPr>
          <w:rFonts w:ascii="Tahoma" w:hAnsi="Tahoma" w:cs="Tahoma"/>
          <w:sz w:val="18"/>
          <w:szCs w:val="18"/>
        </w:rPr>
        <w:t xml:space="preserve"> Meble biurowe - Stoły robocze i biurka - Część 2: Mechaniczne wymagania bezpieczeństwa;</w:t>
      </w:r>
    </w:p>
    <w:p w:rsidR="00377152" w:rsidRDefault="00377152" w:rsidP="00377152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EN 527-3:2004 </w:t>
      </w:r>
      <w:r>
        <w:rPr>
          <w:rFonts w:ascii="Tahoma" w:hAnsi="Tahoma" w:cs="Tahoma"/>
          <w:sz w:val="18"/>
          <w:szCs w:val="18"/>
        </w:rPr>
        <w:t xml:space="preserve"> Meble biurowe - Stoły robocze, biurka i dostawki - Część 3: Metody oznaczania stateczności i wytrzymałości mechanicznej konstrukcji;</w:t>
      </w:r>
    </w:p>
    <w:p w:rsidR="00377152" w:rsidRDefault="00377152" w:rsidP="00377152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EN 14074:2006</w:t>
      </w:r>
      <w:r>
        <w:rPr>
          <w:rFonts w:ascii="Tahoma" w:hAnsi="Tahoma" w:cs="Tahoma"/>
          <w:sz w:val="18"/>
          <w:szCs w:val="18"/>
        </w:rPr>
        <w:t xml:space="preserve">  Meble biurowe. Stoły, biurka i meble do przechowywania. Metody badań wytrzymałości i trwałości części ruchomych;</w:t>
      </w:r>
    </w:p>
    <w:p w:rsidR="00377152" w:rsidRDefault="00377152" w:rsidP="00377152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Atest higieniczności dla proponowanych systemów meblowych, potwierdzający przeznaczenie do użytkowania w pomieszczeniach biurowych i użyteczności publicznej – nie dopuszcza się na atestów na same składowe mebla;</w:t>
      </w:r>
    </w:p>
    <w:p w:rsidR="00377152" w:rsidRDefault="00377152" w:rsidP="00377152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potwierdzenie spełnienia wymagań rozporządzenia Ministra Pracy i Polityki Socjalnej dnia 1 grudnia 1998 r. w sprawie bezpieczeństwa i higieny pracy na stanowiskach wyposażonych w monitory ekranowe 1998 (Dz.U. Nr 148, poz.973). </w:t>
      </w:r>
    </w:p>
    <w:p w:rsidR="00507A46" w:rsidRPr="00C33E13" w:rsidRDefault="00507A46" w:rsidP="00507A46">
      <w:pPr>
        <w:jc w:val="both"/>
        <w:rPr>
          <w:rFonts w:ascii="Tahoma" w:hAnsi="Tahoma" w:cs="Tahoma"/>
          <w:sz w:val="18"/>
          <w:szCs w:val="18"/>
        </w:rPr>
      </w:pPr>
    </w:p>
    <w:p w:rsidR="00507A46" w:rsidRPr="00C33E13" w:rsidRDefault="00507A46" w:rsidP="00507A46">
      <w:pPr>
        <w:rPr>
          <w:sz w:val="18"/>
          <w:szCs w:val="18"/>
        </w:rPr>
      </w:pPr>
    </w:p>
    <w:p w:rsidR="00E06CB9" w:rsidRDefault="005C6C17"/>
    <w:sectPr w:rsidR="00E06CB9" w:rsidSect="00AD0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507A46"/>
    <w:rsid w:val="0001532A"/>
    <w:rsid w:val="00377152"/>
    <w:rsid w:val="00507A46"/>
    <w:rsid w:val="005C6C17"/>
    <w:rsid w:val="006B1525"/>
    <w:rsid w:val="008A0A4C"/>
    <w:rsid w:val="00A658F6"/>
    <w:rsid w:val="00AD0B3E"/>
    <w:rsid w:val="00BB3516"/>
    <w:rsid w:val="00E44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7A4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A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A46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7A4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A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A4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1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2014-05-13T06:26:00Z</dcterms:created>
  <dcterms:modified xsi:type="dcterms:W3CDTF">2015-01-07T06:51:00Z</dcterms:modified>
</cp:coreProperties>
</file>